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22C59DD2" w:rsidR="00A81D5F" w:rsidRPr="00484787" w:rsidRDefault="00206EBA" w:rsidP="00B9469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94697">
        <w:rPr>
          <w:rFonts w:ascii="Times New Roman" w:hAnsi="Times New Roman" w:cs="Times New Roman"/>
          <w:b/>
          <w:bCs/>
          <w:sz w:val="24"/>
          <w:szCs w:val="24"/>
        </w:rPr>
        <w:t>Налоговые споры</w:t>
      </w:r>
      <w:r w:rsidR="0048478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84787" w:rsidRPr="00484787">
        <w:rPr>
          <w:rFonts w:ascii="Times New Roman" w:hAnsi="Times New Roman" w:cs="Times New Roman"/>
          <w:b/>
          <w:bCs/>
          <w:sz w:val="24"/>
          <w:szCs w:val="24"/>
        </w:rPr>
        <w:t>о признании незаконным и отмене уведомления</w:t>
      </w:r>
      <w:r w:rsidRPr="00B946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478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7EA7FA65" w14:textId="0D3DEF47" w:rsidR="00F173BA" w:rsidRPr="00B94697" w:rsidRDefault="00F173BA" w:rsidP="00B946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839C41" w14:textId="77777777" w:rsidR="00B94697" w:rsidRDefault="005D0B66" w:rsidP="00B9469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4697">
        <w:rPr>
          <w:rFonts w:ascii="Times New Roman" w:hAnsi="Times New Roman" w:cs="Times New Roman"/>
          <w:sz w:val="24"/>
          <w:szCs w:val="24"/>
        </w:rPr>
        <w:t xml:space="preserve">Товарищество с ограниченной ответственностью «K» (далее – Товарищество) обратилось в суд с заявлением к РГУ «Департамент государственных доходов по городу Алматы» (далее – Департамент, налоговый орган) о признании незаконным и отмене уведомления об итогах рассмотрения жалобы налогоплательщика (налогового агента) на уведомление о результатах проверки и решения вышестоящего органа государственных доходов, вынесенного по результатам рассмотрения жалобы на уведомление от 16 июля 2019 года № 834/1 (далее – уведомление № 834/1). </w:t>
      </w:r>
    </w:p>
    <w:p w14:paraId="3D3F38DA" w14:textId="77777777" w:rsidR="00B94697" w:rsidRDefault="005D0B66" w:rsidP="00B9469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4697">
        <w:rPr>
          <w:rFonts w:ascii="Times New Roman" w:hAnsi="Times New Roman" w:cs="Times New Roman"/>
          <w:sz w:val="24"/>
          <w:szCs w:val="24"/>
        </w:rPr>
        <w:t xml:space="preserve">Решением специализированного межрайонного экономического суда города Алматы от 18 октября 2019 года заявление Товарищества удовлетворено частично. Признано незаконным и отменено уведомление № 834/1 в части начисления налога на добавленную стоимость на произведенные товары, выполненные работы, оказанные услуги на территории Республики Казахстан (далее – НДС) на сумму 19 204 515 тенге и в части уменьшения убытков на сумму 577 923 540 тенге. В удовлетворении заявления в остальной части отказано. Товариществу возвращена государственная пошлина в сумме 192 045 тенге. </w:t>
      </w:r>
    </w:p>
    <w:p w14:paraId="48A3A4AE" w14:textId="77777777" w:rsidR="00B94697" w:rsidRDefault="005D0B66" w:rsidP="00B9469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4697">
        <w:rPr>
          <w:rFonts w:ascii="Times New Roman" w:hAnsi="Times New Roman" w:cs="Times New Roman"/>
          <w:sz w:val="24"/>
          <w:szCs w:val="24"/>
        </w:rPr>
        <w:t xml:space="preserve">Постановлением судебной коллегии по гражданским делам Алматинского городского суда от 29 января 2020 года решение суда изменено. В части удовлетворения заявления Товарищества решение отменено с вынесением нового решения об отказе в удовлетворении заявления. В остальной части решение суда оставлено без изменения. Судебная коллегия по гражданским делам Верховного Суда изменила решение суда первой инстанции, отменила постановление апелляционной инстанции. Решением суда в части отказа в удовлетворении заявления ТОО «K» к РГУ «Департамент государственных доходов по городу Алматы» отменено и в указанной части вынесено новое решение об удовлетворении заявления. Признано незаконным и отменено уведомление об итогах рассмотрения жалобы налогоплательщика (налогового агента) на уведомление о результатах проверки и решения вышестоящего органа государственных доходов, вынесенного по результатам рассмотрения жалобы на уведомление от 16 июля 2019 года № 834/1 в полном объеме. </w:t>
      </w:r>
    </w:p>
    <w:p w14:paraId="75BC8CB3" w14:textId="77777777" w:rsidR="00B94697" w:rsidRDefault="005D0B66" w:rsidP="00B9469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4697">
        <w:rPr>
          <w:rFonts w:ascii="Times New Roman" w:hAnsi="Times New Roman" w:cs="Times New Roman"/>
          <w:sz w:val="24"/>
          <w:szCs w:val="24"/>
        </w:rPr>
        <w:t xml:space="preserve">В остальной части решение суда оставлено в силе по следующим основаниям. Из материалов дела следует, что Департаментом на основании предписания от 8 августа 2018 года № 834 проведена тематическая налоговая проверка Товарищества по вопросам правильности исчисления и своевременности уплаты в бюджет отдельных видов налогов, а именно: корпоративного подоходного налога (далее – КПН) и НДС за период с 1 января 2013 года по 31 декабря 2017 года. По результатам проверки 10 апреля 2019 года составлен акт и в адрес Товарищества вынесено уведомление № 834. Товариществом на уведомление № 834 подана жалоба в РГУ «Министерство финансов Республики Казахстан», решением которого по результатам рассмотрения жалобы от 16 июля 2019 года уведомление № 834 отменено в части начисления НДС. В связи с указанным Департаментом в адрес Товарищества 16 июля 2019 года вынесено уведомление № 834/1, которым доначислен НДС в размере 165 265 668 тенге и установлена сумма уменьшенного убытка в размере 2 136 224 575 тенге. </w:t>
      </w:r>
    </w:p>
    <w:p w14:paraId="7920095E" w14:textId="77777777" w:rsidR="00B94697" w:rsidRDefault="005D0B66" w:rsidP="00B9469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4697">
        <w:rPr>
          <w:rFonts w:ascii="Times New Roman" w:hAnsi="Times New Roman" w:cs="Times New Roman"/>
          <w:sz w:val="24"/>
          <w:szCs w:val="24"/>
        </w:rPr>
        <w:t xml:space="preserve">Основанием для начисления указанной суммы НДС и уменьшения налоговым органом убытка Товарищества послужили нижеследующие обстоятельства. Так, Товариществом с октября 2009 года в процессе предпринимательской деятельности осуществлены капитальные инвестиции по развертыванию сети на основе технологии WiMAX путем установки базовых станций в целях запуска коммерческой сети предоставления услуг цифрового телевидения и </w:t>
      </w:r>
      <w:r w:rsidRPr="00B94697">
        <w:rPr>
          <w:rFonts w:ascii="Times New Roman" w:hAnsi="Times New Roman" w:cs="Times New Roman"/>
          <w:sz w:val="24"/>
          <w:szCs w:val="24"/>
        </w:rPr>
        <w:lastRenderedPageBreak/>
        <w:t xml:space="preserve">доступа в интернет в Республике Казахстан. К 1 января 2013 года Товариществом приобретено и смонтировано 711 базовых станций в 28 городах Республики Казахстан. </w:t>
      </w:r>
    </w:p>
    <w:p w14:paraId="6D7C4749" w14:textId="57ABE753" w:rsidR="00E84156" w:rsidRDefault="005D0B66" w:rsidP="00B9469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4697">
        <w:rPr>
          <w:rFonts w:ascii="Times New Roman" w:hAnsi="Times New Roman" w:cs="Times New Roman"/>
          <w:sz w:val="24"/>
          <w:szCs w:val="24"/>
        </w:rPr>
        <w:t xml:space="preserve">При приобретении оборудования для строительства и установки базовых станций, а также сопутствующих услуг Товарищество относило в зачет соответствующие суммы НДС. Установлено, что из 711 базовых станций были подключены к интернету 370 станций, а 341 не эксплуатировались ввиду </w:t>
      </w:r>
      <w:proofErr w:type="spellStart"/>
      <w:r w:rsidRPr="00B94697">
        <w:rPr>
          <w:rFonts w:ascii="Times New Roman" w:hAnsi="Times New Roman" w:cs="Times New Roman"/>
          <w:sz w:val="24"/>
          <w:szCs w:val="24"/>
        </w:rPr>
        <w:t>неподключения</w:t>
      </w:r>
      <w:proofErr w:type="spellEnd"/>
      <w:r w:rsidRPr="00B94697">
        <w:rPr>
          <w:rFonts w:ascii="Times New Roman" w:hAnsi="Times New Roman" w:cs="Times New Roman"/>
          <w:sz w:val="24"/>
          <w:szCs w:val="24"/>
        </w:rPr>
        <w:t xml:space="preserve"> к интернету в связи с отсутствием перспективы и абонентской базы. Поскольку ряд базовых станций, введенных в эксплуатацию, не использовался в целях облагаемого оборота, а в последующем Товариществом произведен частичный </w:t>
      </w:r>
      <w:hyperlink r:id="rId6" w:history="1">
        <w:r w:rsidRPr="00BE2326">
          <w:rPr>
            <w:rStyle w:val="aa"/>
            <w:rFonts w:ascii="Times New Roman" w:hAnsi="Times New Roman" w:cs="Times New Roman"/>
            <w:sz w:val="24"/>
            <w:szCs w:val="24"/>
          </w:rPr>
          <w:t>демонтаж и утилизация базовых станций, налогоплательщиком произведена</w:t>
        </w:r>
      </w:hyperlink>
      <w:r w:rsidRPr="00B94697">
        <w:rPr>
          <w:rFonts w:ascii="Times New Roman" w:hAnsi="Times New Roman" w:cs="Times New Roman"/>
          <w:sz w:val="24"/>
          <w:szCs w:val="24"/>
        </w:rPr>
        <w:t xml:space="preserve"> корректировка НДС и в бухгалтерском учете признано обесценение основных средств. </w:t>
      </w:r>
    </w:p>
    <w:p w14:paraId="2EB06E71" w14:textId="77777777" w:rsidR="00E84156" w:rsidRDefault="005D0B66" w:rsidP="00B9469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4697">
        <w:rPr>
          <w:rFonts w:ascii="Times New Roman" w:hAnsi="Times New Roman" w:cs="Times New Roman"/>
          <w:sz w:val="24"/>
          <w:szCs w:val="24"/>
        </w:rPr>
        <w:t xml:space="preserve">Налоговый орган при начислении суммы НДС и уменьшении убытков исходил из требований подпунктов 1) и 2) пункта 1 статьи 256 Кодекса Республики Казахстан от 10 декабря 2008 года «О налогах и других обязательных платежах в бюджет (Налоговый кодекс)», действовавшего на момент возникновения налоговых обязательств Товарищества, согласно которым при определении суммы налога, подлежащей взносу в бюджет, получатель товаров, работ, услуг имеет право на зачет сумм налога на добавленную стоимость, подлежащих уплате за полученные товары, включая основные средства, нематериальные и биологические активы, инвестиции в недвижимость, работы и услуги, если они используются или будут использоваться в целях облагаемого оборота, а также если выполняются следующие условия: получатель товаров, работ, услуг является плательщиком налога на добавленную стоимость в соответствии с подпунктом 1) пункта 1 статьи 228 настоящего Кодекса; поставщиком, являющимся плательщиком налога на добавленную стоимость на дату выписки счета-фактуры, выписан счет-фактура или другой документ, представляемый в соответствии с пунктом 2 настоящей статьи на реализованные товары, работы, услуги на территории Республики Казахстан. </w:t>
      </w:r>
    </w:p>
    <w:p w14:paraId="5CD19DF9" w14:textId="77777777" w:rsidR="00E84156" w:rsidRDefault="005D0B66" w:rsidP="00B9469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4697">
        <w:rPr>
          <w:rFonts w:ascii="Times New Roman" w:hAnsi="Times New Roman" w:cs="Times New Roman"/>
          <w:sz w:val="24"/>
          <w:szCs w:val="24"/>
        </w:rPr>
        <w:t xml:space="preserve">Согласно пунктам 1 и 3 статьи 100 Налогового кодекса расходы налогоплательщика в связи с осуществлением деятельности, направленной на получение дохода, подлежат вычету при определении налогооблагаемого дохода, за исключением расходов, не подлежащих вычету в соответствии с настоящим Кодексом. Вычеты производятся налогоплательщиком при наличии документов, подтверждающих расходы, связанные с его деятельностью, направленной на получение дохода. Пунктом 1 статьи 115 Налогового кодекса установлено, что вычету не подлежат затраты, не связанные с деятельностью, направленной на получение дохода. </w:t>
      </w:r>
    </w:p>
    <w:p w14:paraId="345B0D27" w14:textId="77777777" w:rsidR="00E84156" w:rsidRDefault="005D0B66" w:rsidP="00B9469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4697">
        <w:rPr>
          <w:rFonts w:ascii="Times New Roman" w:hAnsi="Times New Roman" w:cs="Times New Roman"/>
          <w:sz w:val="24"/>
          <w:szCs w:val="24"/>
        </w:rPr>
        <w:t>Товариществом из 711 станций в деятельности, направленной на получение дохода, не использовалось 341 станция, а согласно пункту 1 статьи 117 Налогового кодекса учет фиксированных активов осуществляется по группам, формируемым в соответствии с классификацией, установленной уполномоченным государственным органом по техническому регулированию и метрологии, налоговым органом признано необоснованным отнесение на вычеты расходов по приобретению и установке группы указанных активов и уменьшения стоимости базовых станций, учитываемых в налоговом учете по соответствующей группе. Товарищество, не согласившись с основаниями начисления суммы НДС и уменьшения суммы убытков, оспорило уведомление в судебном порядке.</w:t>
      </w:r>
      <w:r w:rsidR="00C772B0" w:rsidRPr="00B946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0723AE" w14:textId="77777777" w:rsidR="00E84156" w:rsidRDefault="00C772B0" w:rsidP="00B9469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4697">
        <w:rPr>
          <w:rFonts w:ascii="Times New Roman" w:hAnsi="Times New Roman" w:cs="Times New Roman"/>
          <w:sz w:val="24"/>
          <w:szCs w:val="24"/>
        </w:rPr>
        <w:t xml:space="preserve">Суд первой инстанции, отменяя уведомление № 834/1 в части начисления НДС на сумму 19 204 515 тенге и уменьшения убытков на 577 923 540 тенге, исходил из того, что из 711 станций Товариществом было установлено и использовалось в целях получения дохода 370 станций. Остальные 341 станции также приобретены для осуществления деятельности, </w:t>
      </w:r>
      <w:r w:rsidRPr="00B94697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направленной на получение дохода. Товарищество осуществляло деятельность по приобретению и установке станций, заключенные договоры подряда, аренды крыш, на которых устанавливались станции, не оспорены, достоверность первичных бухгалтерских документов по указанным расходам сомнений не вызывает. Следовательно, у налогового органа отсутствовали основания для исключения из зачета суммы НДС в размере 19 204 515 тенге, а также уменьшения убытков на сумму 578 923 540 тенге. </w:t>
      </w:r>
    </w:p>
    <w:p w14:paraId="7896269E" w14:textId="77777777" w:rsidR="00E84156" w:rsidRDefault="00C772B0" w:rsidP="00B9469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4697">
        <w:rPr>
          <w:rFonts w:ascii="Times New Roman" w:hAnsi="Times New Roman" w:cs="Times New Roman"/>
          <w:sz w:val="24"/>
          <w:szCs w:val="24"/>
        </w:rPr>
        <w:t xml:space="preserve">Принимая во внимание, что согласно подпункту 3) пункта 2 статьи 87 Налогового кодекса к активам, не подлежащим амортизации, относится неустановленное оборудование, то 341 не подключенная к сетям интернет станция является неустановленным оборудованием и их Товарищество не могло подвергнуть амортизации. Следовательно, выводы налогового органа в части доначисления суммы НДС и уменьшения убытков по ним являются обоснованными. Апелляционная судебная коллегия, не согласившись с выводами суда первой инстанции в части удовлетворения иска, указала, что назначением 711 станций являлось оказание абонентам </w:t>
      </w:r>
      <w:proofErr w:type="gramStart"/>
      <w:r w:rsidRPr="00B94697">
        <w:rPr>
          <w:rFonts w:ascii="Times New Roman" w:hAnsi="Times New Roman" w:cs="Times New Roman"/>
          <w:sz w:val="24"/>
          <w:szCs w:val="24"/>
        </w:rPr>
        <w:t>интернет услуг</w:t>
      </w:r>
      <w:proofErr w:type="gramEnd"/>
      <w:r w:rsidRPr="00B94697">
        <w:rPr>
          <w:rFonts w:ascii="Times New Roman" w:hAnsi="Times New Roman" w:cs="Times New Roman"/>
          <w:sz w:val="24"/>
          <w:szCs w:val="24"/>
        </w:rPr>
        <w:t xml:space="preserve">, из которых 341 станция таких услуг не оказывала, следовательно, Товариществом деятельность, направленная на получение дохода, не осуществлялась. </w:t>
      </w:r>
    </w:p>
    <w:p w14:paraId="49F721A0" w14:textId="77777777" w:rsidR="00E84156" w:rsidRDefault="00C772B0" w:rsidP="00B9469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4697">
        <w:rPr>
          <w:rFonts w:ascii="Times New Roman" w:hAnsi="Times New Roman" w:cs="Times New Roman"/>
          <w:sz w:val="24"/>
          <w:szCs w:val="24"/>
        </w:rPr>
        <w:t xml:space="preserve">Таким образом, затраты на аренду помещений (крыши), размещение базовых станций, в соответствии с пунктом 1 статьи 115 Налогового кодекса Департаментом обоснованно не отнесены к расходам, связанным с деятельностью, направленной на получение дохода. Доводы налогового органа о необоснованном отнесении Товариществом в декларациях к фиксированным активам суммы амортизационных отчислений по базовым станциям, не использованным в операциях, направленных на извлечение дохода, судом апелляционной инстанции признаны соответствующими нормам материального права. </w:t>
      </w:r>
    </w:p>
    <w:p w14:paraId="13C90B3A" w14:textId="77777777" w:rsidR="00E84156" w:rsidRDefault="00C772B0" w:rsidP="00B9469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4697">
        <w:rPr>
          <w:rFonts w:ascii="Times New Roman" w:hAnsi="Times New Roman" w:cs="Times New Roman"/>
          <w:sz w:val="24"/>
          <w:szCs w:val="24"/>
        </w:rPr>
        <w:t xml:space="preserve">Так, согласно подпункту 1) пункта 1 статьи 116 Налогового кодекса к фиксированным активам относятся основные средства, инвестиции в недвижимость, нематериальные и биологические активы, учтенные при поступлении в бухгалтерском учете налогоплательщика в соответствии с международными стандартами финансовой отчетности (далее – МСФО) и требованиями законодательства Республики Казахстан о бухгалтерском учете и финансовой отчетности и предназначенные для использования в деятельности, направленной на получение дохода. Введенные в эксплуатацию в 2012 году базовые станции стоимостью 2 559 048,5 тыс. тенге за проверяемый период с 1 января 2013 года по 31 декабря 2017 года не использовались в деятельности, направленной на получение дохода, следовательно, их стоимость подлежит исключению из деклараций по КПН с уменьшением суммы вычетов по начисленной амортизации по ставке 25% на сумму 1 069 251,9 </w:t>
      </w:r>
      <w:proofErr w:type="spellStart"/>
      <w:r w:rsidRPr="00B94697">
        <w:rPr>
          <w:rFonts w:ascii="Times New Roman" w:hAnsi="Times New Roman" w:cs="Times New Roman"/>
          <w:sz w:val="24"/>
          <w:szCs w:val="24"/>
        </w:rPr>
        <w:t>тыс.тенге</w:t>
      </w:r>
      <w:proofErr w:type="spellEnd"/>
      <w:r w:rsidRPr="00B9469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B22F4D" w14:textId="77777777" w:rsidR="00E84156" w:rsidRDefault="00C772B0" w:rsidP="00B9469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4697">
        <w:rPr>
          <w:rFonts w:ascii="Times New Roman" w:hAnsi="Times New Roman" w:cs="Times New Roman"/>
          <w:sz w:val="24"/>
          <w:szCs w:val="24"/>
        </w:rPr>
        <w:t xml:space="preserve">Расходы по аренде крыш, на которых дислоцировались неиспользуемые станции, не подлежали отнесению Товариществом к расходам, использованным в целях облагаемого оборота, поэтому налоговый орган обоснованно в соответствии с пунктом 1 статьи 258 Налогового кодекса откорректировал сумму НДС. Судебная коллегия вышеуказанные выводы суда первой инстанции, в части отказанной в удовлетворении заявления Товарищества, а также выводы суда апелляционной инстанции признает не соответствующими нормам материального права и установленным обстоятельствам дела. Характер возникшего спора между Товариществом и налоговым органом требовал необходимость установления судами наличия у Товарищества оснований и обстоятельств, позволяющих отнести на вычеты НДС и увеличить убытки в результате использования, последующей утилизации базовых станций. </w:t>
      </w:r>
    </w:p>
    <w:p w14:paraId="41F80AE2" w14:textId="77777777" w:rsidR="00E84156" w:rsidRDefault="00C772B0" w:rsidP="00B9469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4697">
        <w:rPr>
          <w:rFonts w:ascii="Times New Roman" w:hAnsi="Times New Roman" w:cs="Times New Roman"/>
          <w:sz w:val="24"/>
          <w:szCs w:val="24"/>
        </w:rPr>
        <w:t xml:space="preserve">Материалами дела установлено и не оспаривается сторонами, что Товариществом установлены и введены в эксплуатацию 711 базовых станций, что подтверждается </w:t>
      </w:r>
      <w:r w:rsidRPr="00B94697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соответствующими актами ввода в эксплуатацию. Поэтому выводы суда первой инстанции со ссылкой на подпункт 3) пункта 2 статьи 87 Налогового кодекса об отнесении 341 станции, не подключенной к сетям интернет, к неустановленному оборудованию и невозможности их амортизации коллегия признает противоречащими фактическим обстоятельствам дела и нормам налогового законодательства. Апелляционная судебная коллегия, признавая обоснованным уведомление налогового органа, сослалась на нормы подпункта 1) пункта 1) статьи 116 Налогового кодекса. </w:t>
      </w:r>
    </w:p>
    <w:p w14:paraId="4B640500" w14:textId="77777777" w:rsidR="00E84156" w:rsidRDefault="00C772B0" w:rsidP="00B9469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4697">
        <w:rPr>
          <w:rFonts w:ascii="Times New Roman" w:hAnsi="Times New Roman" w:cs="Times New Roman"/>
          <w:sz w:val="24"/>
          <w:szCs w:val="24"/>
        </w:rPr>
        <w:t xml:space="preserve">Между тем, согласно пункту 6 МСФО (IAS) 16 основными средствами являются материальные активы, которые: (a) предназначены для использования в процессе производства или поставки товаров и предоставления услуг, при сдаче в аренду или в административных целях; (b) предполагаются к использованию в течение более чем одного периода. Назначение приобретенных и установленных Товариществом станций свидетельствует о цели их использования для получения дохода путем предоставления услуг в период более одного года, следовательно, они являются основными средствами и в силу подпункта 1) пункта 1 статьи 116 Налогового кодекса подлежат отнесению к фиксированным активам. Судебная коллегия доводы налогового органа о том, что базовые станции не относятся к фиксированным активам, признает несостоятельными. Действительно, согласно подпункту </w:t>
      </w:r>
      <w:proofErr w:type="gramStart"/>
      <w:r w:rsidRPr="00B94697">
        <w:rPr>
          <w:rFonts w:ascii="Times New Roman" w:hAnsi="Times New Roman" w:cs="Times New Roman"/>
          <w:sz w:val="24"/>
          <w:szCs w:val="24"/>
        </w:rPr>
        <w:t>1-1</w:t>
      </w:r>
      <w:proofErr w:type="gramEnd"/>
      <w:r w:rsidRPr="00B94697">
        <w:rPr>
          <w:rFonts w:ascii="Times New Roman" w:hAnsi="Times New Roman" w:cs="Times New Roman"/>
          <w:sz w:val="24"/>
          <w:szCs w:val="24"/>
        </w:rPr>
        <w:t xml:space="preserve">) пункта 2 статьи 116 Налогового кодекса к фиксированным активам не относятся активы, по которым исчисление амортизационных отчислений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 производится. </w:t>
      </w:r>
    </w:p>
    <w:p w14:paraId="192A6418" w14:textId="77777777" w:rsidR="00E84156" w:rsidRDefault="00C772B0" w:rsidP="00B9469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4697">
        <w:rPr>
          <w:rFonts w:ascii="Times New Roman" w:hAnsi="Times New Roman" w:cs="Times New Roman"/>
          <w:sz w:val="24"/>
          <w:szCs w:val="24"/>
        </w:rPr>
        <w:t xml:space="preserve">В соответствии с пунктом 55 МСФО (IAS) 16 амортизация актива начинается тогда, когда он становится доступен для использования, </w:t>
      </w:r>
      <w:proofErr w:type="gramStart"/>
      <w:r w:rsidRPr="00B94697">
        <w:rPr>
          <w:rFonts w:ascii="Times New Roman" w:hAnsi="Times New Roman" w:cs="Times New Roman"/>
          <w:sz w:val="24"/>
          <w:szCs w:val="24"/>
        </w:rPr>
        <w:t>то есть</w:t>
      </w:r>
      <w:proofErr w:type="gramEnd"/>
      <w:r w:rsidRPr="00B94697">
        <w:rPr>
          <w:rFonts w:ascii="Times New Roman" w:hAnsi="Times New Roman" w:cs="Times New Roman"/>
          <w:sz w:val="24"/>
          <w:szCs w:val="24"/>
        </w:rPr>
        <w:t xml:space="preserve"> когда его местоположение и состояние позволяют осуществлять его эксплуатацию в режиме, соответствующем намерениям руководства. Амортизация актива прекращается на дату классификации этого актива как предназначенного для продажи (или включения его в состав выбывающей группы, которая классифицируется как предназначенная для продажи) в соответствии с МСФО (IFRS) 5 или на дату прекращения признания данного актива в зависимости от того, какая из них наступает раньше. Следовательно, начисление амортизации не прекращается в случае простоя актива или изъятия его из эксплуатации, за исключением случаев, когда актив полностью </w:t>
      </w:r>
      <w:proofErr w:type="spellStart"/>
      <w:r w:rsidRPr="00B94697">
        <w:rPr>
          <w:rFonts w:ascii="Times New Roman" w:hAnsi="Times New Roman" w:cs="Times New Roman"/>
          <w:sz w:val="24"/>
          <w:szCs w:val="24"/>
        </w:rPr>
        <w:t>самортизирован</w:t>
      </w:r>
      <w:proofErr w:type="spellEnd"/>
      <w:r w:rsidRPr="00B94697">
        <w:rPr>
          <w:rFonts w:ascii="Times New Roman" w:hAnsi="Times New Roman" w:cs="Times New Roman"/>
          <w:sz w:val="24"/>
          <w:szCs w:val="24"/>
        </w:rPr>
        <w:t xml:space="preserve">. Тем не менее при применении методов амортизации на основе объема выработки сумма амортизационных отчислений может быть нулевой в течение времени, когда производство отсутствует. </w:t>
      </w:r>
    </w:p>
    <w:p w14:paraId="0672A3AF" w14:textId="77777777" w:rsidR="00E84156" w:rsidRDefault="00C772B0" w:rsidP="00B9469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4697">
        <w:rPr>
          <w:rFonts w:ascii="Times New Roman" w:hAnsi="Times New Roman" w:cs="Times New Roman"/>
          <w:sz w:val="24"/>
          <w:szCs w:val="24"/>
        </w:rPr>
        <w:t xml:space="preserve">Реализация Товариществом комплекса мероприятий, позволяющего использовать все 711 базовых станций в деятельности, направленной на получение дохода (приобретение оборудования, определение его местоположения, заключение договоров аренды для установки, монтаж и ввод в эксплуатацию), свидетельствует об обоснованном отнесении его Товариществом к основным средствам, правомерности амортизации и, соответственно, обоснованности отнесения данных сумм на вычеты и формирование убытков. Из пункта 1 статьи 117 следует, что фиксированные активы в виде машин и оборудования, за исключением машин и оборудования нефтегазодобычи, а также компьютеров и оборудования для обработки информации, учитываются по II группе. Согласно подпункту 2) пункта 4 статьи 117 Налогового кодекса фиксированные активы учитываются по II, III и IV группам - в разрезе стоимостных балансов групп. Отнесение фиксированного актива ко ІІ группе означает отсутствие необходимости </w:t>
      </w:r>
      <w:proofErr w:type="spellStart"/>
      <w:r w:rsidRPr="00B94697">
        <w:rPr>
          <w:rFonts w:ascii="Times New Roman" w:hAnsi="Times New Roman" w:cs="Times New Roman"/>
          <w:sz w:val="24"/>
          <w:szCs w:val="24"/>
        </w:rPr>
        <w:t>пообъектного</w:t>
      </w:r>
      <w:proofErr w:type="spellEnd"/>
      <w:r w:rsidRPr="00B94697">
        <w:rPr>
          <w:rFonts w:ascii="Times New Roman" w:hAnsi="Times New Roman" w:cs="Times New Roman"/>
          <w:sz w:val="24"/>
          <w:szCs w:val="24"/>
        </w:rPr>
        <w:t xml:space="preserve"> учета в разрезе каждой станции после включения в стоимостной баланс группы в целях исчисления амортизационных отчислений. </w:t>
      </w:r>
    </w:p>
    <w:p w14:paraId="1C113091" w14:textId="516077FF" w:rsidR="00F173BA" w:rsidRPr="00B94697" w:rsidRDefault="00C772B0" w:rsidP="00B9469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4697">
        <w:rPr>
          <w:rFonts w:ascii="Times New Roman" w:hAnsi="Times New Roman" w:cs="Times New Roman"/>
          <w:sz w:val="24"/>
          <w:szCs w:val="24"/>
        </w:rPr>
        <w:lastRenderedPageBreak/>
        <w:t xml:space="preserve">Поэтому все станции, приобретенные Товариществом, подлежат учету в одной группе и амортизируются </w:t>
      </w:r>
      <w:hyperlink r:id="rId7" w:history="1">
        <w:r w:rsidRPr="00E84156">
          <w:rPr>
            <w:rStyle w:val="aa"/>
            <w:rFonts w:ascii="Times New Roman" w:hAnsi="Times New Roman" w:cs="Times New Roman"/>
            <w:sz w:val="24"/>
            <w:szCs w:val="24"/>
          </w:rPr>
          <w:t>как одна группа. В этой связи выводы апелляционной судебной коллегии о том</w:t>
        </w:r>
      </w:hyperlink>
      <w:r w:rsidRPr="00B94697">
        <w:rPr>
          <w:rFonts w:ascii="Times New Roman" w:hAnsi="Times New Roman" w:cs="Times New Roman"/>
          <w:sz w:val="24"/>
          <w:szCs w:val="24"/>
        </w:rPr>
        <w:t>, что 341 станция не использовалась Товариществом в деятельности, направленной на получение дохода, судебная коллегия признает необоснованными.</w:t>
      </w:r>
    </w:p>
    <w:p w14:paraId="1D196CDE" w14:textId="737247FA" w:rsidR="00F173BA" w:rsidRPr="00B94697" w:rsidRDefault="00F173BA" w:rsidP="00B946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B94697" w:rsidRDefault="00F173BA" w:rsidP="00B946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B94697" w:rsidRDefault="00F173BA" w:rsidP="00B946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B94697" w:rsidRDefault="00F173BA" w:rsidP="00B946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B94697" w:rsidRDefault="00F173BA" w:rsidP="00B946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B94697" w:rsidRDefault="00F173BA" w:rsidP="00B946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B94697" w:rsidRDefault="00F173BA" w:rsidP="00B946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B94697" w:rsidRDefault="00F173BA" w:rsidP="00B946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B94697" w:rsidRDefault="00F173BA" w:rsidP="00B94697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94697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B94697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6BA1A" w14:textId="77777777" w:rsidR="002E438B" w:rsidRDefault="002E438B" w:rsidP="00702393">
      <w:pPr>
        <w:spacing w:after="0" w:line="240" w:lineRule="auto"/>
      </w:pPr>
      <w:r>
        <w:separator/>
      </w:r>
    </w:p>
  </w:endnote>
  <w:endnote w:type="continuationSeparator" w:id="0">
    <w:p w14:paraId="6A3C8D90" w14:textId="77777777" w:rsidR="002E438B" w:rsidRDefault="002E438B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BC45A" w14:textId="77777777" w:rsidR="002E438B" w:rsidRDefault="002E438B" w:rsidP="00702393">
      <w:pPr>
        <w:spacing w:after="0" w:line="240" w:lineRule="auto"/>
      </w:pPr>
      <w:r>
        <w:separator/>
      </w:r>
    </w:p>
  </w:footnote>
  <w:footnote w:type="continuationSeparator" w:id="0">
    <w:p w14:paraId="7D27BBC1" w14:textId="77777777" w:rsidR="002E438B" w:rsidRDefault="002E438B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06EBA"/>
    <w:rsid w:val="002570B0"/>
    <w:rsid w:val="002A1A72"/>
    <w:rsid w:val="002B659E"/>
    <w:rsid w:val="002E438B"/>
    <w:rsid w:val="00315990"/>
    <w:rsid w:val="00327D34"/>
    <w:rsid w:val="00327E86"/>
    <w:rsid w:val="00396063"/>
    <w:rsid w:val="003C77EA"/>
    <w:rsid w:val="003E3623"/>
    <w:rsid w:val="00442855"/>
    <w:rsid w:val="00461793"/>
    <w:rsid w:val="00484787"/>
    <w:rsid w:val="005A3B78"/>
    <w:rsid w:val="005D0B66"/>
    <w:rsid w:val="006B0A4D"/>
    <w:rsid w:val="006E2D0A"/>
    <w:rsid w:val="00702393"/>
    <w:rsid w:val="00722D19"/>
    <w:rsid w:val="007A049E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94697"/>
    <w:rsid w:val="00BD7730"/>
    <w:rsid w:val="00BE2326"/>
    <w:rsid w:val="00C16D9C"/>
    <w:rsid w:val="00C772B0"/>
    <w:rsid w:val="00CB275A"/>
    <w:rsid w:val="00CF5BD5"/>
    <w:rsid w:val="00D02DFB"/>
    <w:rsid w:val="00DB660C"/>
    <w:rsid w:val="00E84156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8415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84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2246</Words>
  <Characters>12805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2021-08-17T09:04:00Z</cp:lastPrinted>
  <dcterms:created xsi:type="dcterms:W3CDTF">2021-08-13T09:00:00Z</dcterms:created>
  <dcterms:modified xsi:type="dcterms:W3CDTF">2021-12-14T14:51:00Z</dcterms:modified>
</cp:coreProperties>
</file>