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1E0AD" w14:textId="66A3F413" w:rsidR="009E39AE" w:rsidRPr="00DF237E" w:rsidRDefault="00DF237E" w:rsidP="00DF237E">
      <w:pPr>
        <w:jc w:val="center"/>
        <w:rPr>
          <w:rFonts w:ascii="Times New Roman" w:hAnsi="Times New Roman" w:cs="Times New Roman"/>
          <w:b/>
          <w:bCs/>
          <w:sz w:val="24"/>
          <w:szCs w:val="24"/>
        </w:rPr>
      </w:pPr>
      <w:r w:rsidRPr="00DF237E">
        <w:rPr>
          <w:rFonts w:ascii="Times New Roman" w:hAnsi="Times New Roman" w:cs="Times New Roman"/>
          <w:b/>
          <w:bCs/>
          <w:sz w:val="24"/>
          <w:szCs w:val="24"/>
        </w:rPr>
        <w:t>О</w:t>
      </w:r>
      <w:r w:rsidRPr="00DF237E">
        <w:rPr>
          <w:rFonts w:ascii="Times New Roman" w:hAnsi="Times New Roman" w:cs="Times New Roman"/>
          <w:b/>
          <w:bCs/>
          <w:sz w:val="24"/>
          <w:szCs w:val="24"/>
        </w:rPr>
        <w:t xml:space="preserve"> признании незаконным и отмене уведомления</w:t>
      </w:r>
      <w:r w:rsidRPr="00DF237E">
        <w:rPr>
          <w:rFonts w:ascii="Times New Roman" w:hAnsi="Times New Roman" w:cs="Times New Roman"/>
          <w:b/>
          <w:bCs/>
          <w:sz w:val="24"/>
          <w:szCs w:val="24"/>
        </w:rPr>
        <w:t xml:space="preserve"> </w:t>
      </w:r>
      <w:r w:rsidRPr="00DF237E">
        <w:rPr>
          <w:rFonts w:ascii="Times New Roman" w:hAnsi="Times New Roman" w:cs="Times New Roman"/>
          <w:b/>
          <w:bCs/>
          <w:sz w:val="24"/>
          <w:szCs w:val="24"/>
        </w:rPr>
        <w:t>Департамент государственных доходов</w:t>
      </w:r>
    </w:p>
    <w:p w14:paraId="1F931D4C" w14:textId="77777777" w:rsidR="009E39AE" w:rsidRPr="007E2BDF" w:rsidRDefault="009E39AE" w:rsidP="00A81D5F">
      <w:pPr>
        <w:jc w:val="both"/>
        <w:rPr>
          <w:rFonts w:ascii="Times New Roman" w:hAnsi="Times New Roman" w:cs="Times New Roman"/>
          <w:sz w:val="24"/>
          <w:szCs w:val="24"/>
        </w:rPr>
      </w:pPr>
    </w:p>
    <w:p w14:paraId="2E5F7055" w14:textId="77777777" w:rsidR="007E2BDF" w:rsidRDefault="009E39AE"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Спор возник по вопросу: включены ли в таможенную стоимость и цену сырой нефти расходы, связанные с перевозкой (транспортировкой) нефти из Республики Казахстан до места ее убытия с таможенной территории Евразийского экономического союза. Позиция КГД Цена экспортируемой нефти не включает транспортные и прочие расходы компаний до места вывоза с территории ЕАЭС, в связи с чем КГД увеличило таможенную стоимость и произвело доначисления таможенных сборов и пени только по компаниям – экспортерам, работающим по стабильному законодательству на дату подписания Соглашений о разделе продукции (Указ Президента Республики Казахстан, имеющий силу Закона от 20 июля 1995 года № 2368, «О таможенном деле в Республике Казахстан»). </w:t>
      </w:r>
    </w:p>
    <w:p w14:paraId="2C292B9B" w14:textId="77777777" w:rsidR="007E2BDF" w:rsidRDefault="009E39AE"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Неоднозначная судебная практика наглядно отслеживается на примере состоявшихся трех судебных актов по заявлению АО «К». При этом следует отметить, что мотивы принятых решений в пользу экспортеров также являются неидентичными. Так: 1. Решением суда города Астана от 28 февраля 2017 года, оставленным без изменения постановлением апелляционной инстанции от 12 мая 2017 года, частично удовлетворено заявление АО «К» к РГУ «Департамент государственных доходов по Западно-Казахстанской области» о признании незаконным и отмене уведомления от 9 июня 2016 года № 42, решения Комитета от 14 декабря 2016 года. Заявителем обжалованы действия Департамента по доначислению таможенных платежей с указанием в акте проверки, что расходы Общества, понесенные по транспортировке нефти до порта назначения, не были включены в таможенную стоимость товара. Установлено, что Общество производит поставку сырой нефти на экспорт по контрактам, заключенным с компаниями В и E, на условиях поставки FOB (свободно на борту) в соответствии с Инкотермс 2000. </w:t>
      </w:r>
    </w:p>
    <w:p w14:paraId="4C9ED993" w14:textId="77777777" w:rsidR="007E2BDF" w:rsidRDefault="009E39AE"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В соответствии с указанными правилами термин FOB (свободно на борту) означает, что продавец поставляет товар на борт судна в названном порту отгрузки. С этого момента все расходы и риски потери или повреждения товара должен нести покупатель. Цена товара по контрактам Общества, заключенным с компаниями В и E на условиях поставки FOB Новороссийск, установлена в долларах США за баррель нетто и расчет произведен с использованием котировки цен на нефть сорта «</w:t>
      </w:r>
      <w:proofErr w:type="spellStart"/>
      <w:r w:rsidRPr="007E2BDF">
        <w:rPr>
          <w:rFonts w:ascii="Times New Roman" w:hAnsi="Times New Roman" w:cs="Times New Roman"/>
          <w:sz w:val="24"/>
          <w:szCs w:val="24"/>
        </w:rPr>
        <w:t>Вrend</w:t>
      </w:r>
      <w:proofErr w:type="spellEnd"/>
      <w:r w:rsidRPr="007E2BDF">
        <w:rPr>
          <w:rFonts w:ascii="Times New Roman" w:hAnsi="Times New Roman" w:cs="Times New Roman"/>
          <w:sz w:val="24"/>
          <w:szCs w:val="24"/>
        </w:rPr>
        <w:t>» из журнала «</w:t>
      </w:r>
      <w:proofErr w:type="spellStart"/>
      <w:r w:rsidRPr="007E2BDF">
        <w:rPr>
          <w:rFonts w:ascii="Times New Roman" w:hAnsi="Times New Roman" w:cs="Times New Roman"/>
          <w:sz w:val="24"/>
          <w:szCs w:val="24"/>
        </w:rPr>
        <w:t>Platts</w:t>
      </w:r>
      <w:proofErr w:type="spellEnd"/>
      <w:r w:rsidRPr="007E2BDF">
        <w:rPr>
          <w:rFonts w:ascii="Times New Roman" w:hAnsi="Times New Roman" w:cs="Times New Roman"/>
          <w:sz w:val="24"/>
          <w:szCs w:val="24"/>
        </w:rPr>
        <w:t xml:space="preserve"> </w:t>
      </w:r>
      <w:proofErr w:type="spellStart"/>
      <w:r w:rsidRPr="007E2BDF">
        <w:rPr>
          <w:rFonts w:ascii="Times New Roman" w:hAnsi="Times New Roman" w:cs="Times New Roman"/>
          <w:sz w:val="24"/>
          <w:szCs w:val="24"/>
        </w:rPr>
        <w:t>Crude</w:t>
      </w:r>
      <w:proofErr w:type="spellEnd"/>
      <w:r w:rsidRPr="007E2BDF">
        <w:rPr>
          <w:rFonts w:ascii="Times New Roman" w:hAnsi="Times New Roman" w:cs="Times New Roman"/>
          <w:sz w:val="24"/>
          <w:szCs w:val="24"/>
        </w:rPr>
        <w:t xml:space="preserve"> Oil </w:t>
      </w:r>
      <w:proofErr w:type="spellStart"/>
      <w:r w:rsidRPr="007E2BDF">
        <w:rPr>
          <w:rFonts w:ascii="Times New Roman" w:hAnsi="Times New Roman" w:cs="Times New Roman"/>
          <w:sz w:val="24"/>
          <w:szCs w:val="24"/>
        </w:rPr>
        <w:t>Marketwire</w:t>
      </w:r>
      <w:proofErr w:type="spellEnd"/>
      <w:r w:rsidRPr="007E2BDF">
        <w:rPr>
          <w:rFonts w:ascii="Times New Roman" w:hAnsi="Times New Roman" w:cs="Times New Roman"/>
          <w:sz w:val="24"/>
          <w:szCs w:val="24"/>
        </w:rPr>
        <w:t>». Определение цены нефти по котировке на бирже предусмотрено условиями контрактов.</w:t>
      </w:r>
      <w:r w:rsidR="0046038A" w:rsidRPr="007E2BDF">
        <w:rPr>
          <w:rFonts w:ascii="Times New Roman" w:hAnsi="Times New Roman" w:cs="Times New Roman"/>
          <w:sz w:val="24"/>
          <w:szCs w:val="24"/>
        </w:rPr>
        <w:t xml:space="preserve"> Постановлением Правительства РК от 21 декабря 2011 года № 1568 журнал «</w:t>
      </w:r>
      <w:proofErr w:type="spellStart"/>
      <w:r w:rsidR="0046038A" w:rsidRPr="007E2BDF">
        <w:rPr>
          <w:rFonts w:ascii="Times New Roman" w:hAnsi="Times New Roman" w:cs="Times New Roman"/>
          <w:sz w:val="24"/>
          <w:szCs w:val="24"/>
        </w:rPr>
        <w:t>Platts</w:t>
      </w:r>
      <w:proofErr w:type="spellEnd"/>
      <w:r w:rsidR="0046038A" w:rsidRPr="007E2BDF">
        <w:rPr>
          <w:rFonts w:ascii="Times New Roman" w:hAnsi="Times New Roman" w:cs="Times New Roman"/>
          <w:sz w:val="24"/>
          <w:szCs w:val="24"/>
        </w:rPr>
        <w:t xml:space="preserve"> </w:t>
      </w:r>
      <w:proofErr w:type="spellStart"/>
      <w:r w:rsidR="0046038A" w:rsidRPr="007E2BDF">
        <w:rPr>
          <w:rFonts w:ascii="Times New Roman" w:hAnsi="Times New Roman" w:cs="Times New Roman"/>
          <w:sz w:val="24"/>
          <w:szCs w:val="24"/>
        </w:rPr>
        <w:t>Crude</w:t>
      </w:r>
      <w:proofErr w:type="spellEnd"/>
      <w:r w:rsidR="0046038A" w:rsidRPr="007E2BDF">
        <w:rPr>
          <w:rFonts w:ascii="Times New Roman" w:hAnsi="Times New Roman" w:cs="Times New Roman"/>
          <w:sz w:val="24"/>
          <w:szCs w:val="24"/>
        </w:rPr>
        <w:t xml:space="preserve"> Oil </w:t>
      </w:r>
      <w:proofErr w:type="spellStart"/>
      <w:r w:rsidR="0046038A" w:rsidRPr="007E2BDF">
        <w:rPr>
          <w:rFonts w:ascii="Times New Roman" w:hAnsi="Times New Roman" w:cs="Times New Roman"/>
          <w:sz w:val="24"/>
          <w:szCs w:val="24"/>
        </w:rPr>
        <w:t>Marketwire</w:t>
      </w:r>
      <w:proofErr w:type="spellEnd"/>
      <w:r w:rsidR="0046038A" w:rsidRPr="007E2BDF">
        <w:rPr>
          <w:rFonts w:ascii="Times New Roman" w:hAnsi="Times New Roman" w:cs="Times New Roman"/>
          <w:sz w:val="24"/>
          <w:szCs w:val="24"/>
        </w:rPr>
        <w:t xml:space="preserve">» признан источником информации о рыночных ценах на сырую нефть. В материалах дела имеется письмо от 2 февраля 2017 года, где информационный источник </w:t>
      </w:r>
      <w:proofErr w:type="spellStart"/>
      <w:r w:rsidR="0046038A" w:rsidRPr="007E2BDF">
        <w:rPr>
          <w:rFonts w:ascii="Times New Roman" w:hAnsi="Times New Roman" w:cs="Times New Roman"/>
          <w:sz w:val="24"/>
          <w:szCs w:val="24"/>
        </w:rPr>
        <w:t>Platts</w:t>
      </w:r>
      <w:proofErr w:type="spellEnd"/>
      <w:r w:rsidR="0046038A" w:rsidRPr="007E2BDF">
        <w:rPr>
          <w:rFonts w:ascii="Times New Roman" w:hAnsi="Times New Roman" w:cs="Times New Roman"/>
          <w:sz w:val="24"/>
          <w:szCs w:val="24"/>
        </w:rPr>
        <w:t xml:space="preserve"> подтверждает формирование котировки с учетом расходов по транспортировке нефти по трубопроводу. </w:t>
      </w:r>
    </w:p>
    <w:p w14:paraId="773A95DB" w14:textId="1D93DD55" w:rsidR="007E2B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Согласно Методике в области ведения статистики международной торговли товарами, утвержденной приказом председателя Комитета по статистике Министерства национальной экономики Республики Казахстан от 14 декабря 2015 года № 204, ФОБ (FOB) – это поставка товара, где в цену товара включается его стоимость и расходы по доставке и погрузке товара на борт судна. Согласно статье 122 Закона «О таможенном деле в Республике Казахстан» в редакции от 1995 года и статье 98 Кодекса «О таможенном деле в Республике Казахстан» таможенная стоимость вывозимых с таможенной территории Таможенного союза товаров определяется на основе цены сделки, фактически уплаченной или подлежащей уплате при продаже на экспорт. </w:t>
      </w:r>
    </w:p>
    <w:p w14:paraId="05122867" w14:textId="77777777" w:rsidR="00175A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lastRenderedPageBreak/>
        <w:t xml:space="preserve">При определении таможенной стоимости товара в цену сделки включаются транспортные расходы, если они не были ранее включены. Суды, удовлетворяя требования заявителя в этой части, пришли к выводу, что при установлении биржевой цены расходы по транспортировке нефти при базисе поставки FOB ранее включены в таможенную стоимость товара, поэтому повторное их включение Департаментом является неправомерным. Постановлением кассационной инстанции от 22 декабря 2017 года отказано в возбуждении кассационного производства. 2. Решением суда города Астана от 14 сентября 2017 года частично удовлетворено заявление АО «К» к РГУ «Департамент государственных доходов по Западно-Казахстанской области» о признании незаконным и отмене уведомления от 21 июня 2017 года № 278/1. Отменены доначисления таможенных сборов и пени по транспортным расходам по указанным выше основаниям. Постановлением апелляционной инстанции от 21 декабря 2018 года решение изменено. </w:t>
      </w:r>
    </w:p>
    <w:p w14:paraId="5E5C2C6B" w14:textId="77777777" w:rsidR="00175A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В удовлетворенной части отменено с вынесением нового решения об отказе в иске. Коллегия пришла к выводу о законности обжалуемого уведомления по следующим основаниям. В проверяемый период Общество осуществило поставку сырой нефти на экспорт по контрактам, заключенным с компаниями «В», «E» на условиях FOB (свободно на борту) в соответствии с Инкотермс-2000. Условия поставки FOB подразумевают погрузку в порту на номинированный покупателем танкер по согласованию сторонами периода погрузки. Включение в условия договора условий поставки FOB свидетельствует о бремени распределения расходов и моменте перехода права собственности на товар, но не свидетельствуют о том, что расходы по транспортировке включены в цену сделки. Цена товара по контрактам на условиях поставки FOB Новороссийск определена в долларах США за баррель нетто и рассчитывается по формуле, где </w:t>
      </w:r>
      <w:proofErr w:type="spellStart"/>
      <w:r w:rsidRPr="007E2BDF">
        <w:rPr>
          <w:rFonts w:ascii="Times New Roman" w:hAnsi="Times New Roman" w:cs="Times New Roman"/>
          <w:sz w:val="24"/>
          <w:szCs w:val="24"/>
        </w:rPr>
        <w:t>Brend</w:t>
      </w:r>
      <w:proofErr w:type="spellEnd"/>
      <w:r w:rsidRPr="007E2BDF">
        <w:rPr>
          <w:rFonts w:ascii="Times New Roman" w:hAnsi="Times New Roman" w:cs="Times New Roman"/>
          <w:sz w:val="24"/>
          <w:szCs w:val="24"/>
        </w:rPr>
        <w:t xml:space="preserve"> - это арифметическое среднее из средних ежедневных котировок на нефть сорта </w:t>
      </w:r>
      <w:proofErr w:type="spellStart"/>
      <w:r w:rsidRPr="007E2BDF">
        <w:rPr>
          <w:rFonts w:ascii="Times New Roman" w:hAnsi="Times New Roman" w:cs="Times New Roman"/>
          <w:sz w:val="24"/>
          <w:szCs w:val="24"/>
        </w:rPr>
        <w:t>Brend</w:t>
      </w:r>
      <w:proofErr w:type="spellEnd"/>
      <w:r w:rsidRPr="007E2BDF">
        <w:rPr>
          <w:rFonts w:ascii="Times New Roman" w:hAnsi="Times New Roman" w:cs="Times New Roman"/>
          <w:sz w:val="24"/>
          <w:szCs w:val="24"/>
        </w:rPr>
        <w:t>, публикуемых в «</w:t>
      </w:r>
      <w:proofErr w:type="spellStart"/>
      <w:r w:rsidRPr="007E2BDF">
        <w:rPr>
          <w:rFonts w:ascii="Times New Roman" w:hAnsi="Times New Roman" w:cs="Times New Roman"/>
          <w:sz w:val="24"/>
          <w:szCs w:val="24"/>
        </w:rPr>
        <w:t>Платтс</w:t>
      </w:r>
      <w:proofErr w:type="spellEnd"/>
      <w:r w:rsidRPr="007E2BDF">
        <w:rPr>
          <w:rFonts w:ascii="Times New Roman" w:hAnsi="Times New Roman" w:cs="Times New Roman"/>
          <w:sz w:val="24"/>
          <w:szCs w:val="24"/>
        </w:rPr>
        <w:t xml:space="preserve"> </w:t>
      </w:r>
      <w:proofErr w:type="spellStart"/>
      <w:r w:rsidRPr="007E2BDF">
        <w:rPr>
          <w:rFonts w:ascii="Times New Roman" w:hAnsi="Times New Roman" w:cs="Times New Roman"/>
          <w:sz w:val="24"/>
          <w:szCs w:val="24"/>
        </w:rPr>
        <w:t>Круд</w:t>
      </w:r>
      <w:proofErr w:type="spellEnd"/>
      <w:r w:rsidRPr="007E2BDF">
        <w:rPr>
          <w:rFonts w:ascii="Times New Roman" w:hAnsi="Times New Roman" w:cs="Times New Roman"/>
          <w:sz w:val="24"/>
          <w:szCs w:val="24"/>
        </w:rPr>
        <w:t xml:space="preserve"> Ойл </w:t>
      </w:r>
      <w:proofErr w:type="spellStart"/>
      <w:r w:rsidRPr="007E2BDF">
        <w:rPr>
          <w:rFonts w:ascii="Times New Roman" w:hAnsi="Times New Roman" w:cs="Times New Roman"/>
          <w:sz w:val="24"/>
          <w:szCs w:val="24"/>
        </w:rPr>
        <w:t>Маркетваер</w:t>
      </w:r>
      <w:proofErr w:type="spellEnd"/>
      <w:r w:rsidRPr="007E2BDF">
        <w:rPr>
          <w:rFonts w:ascii="Times New Roman" w:hAnsi="Times New Roman" w:cs="Times New Roman"/>
          <w:sz w:val="24"/>
          <w:szCs w:val="24"/>
        </w:rPr>
        <w:t xml:space="preserve">», </w:t>
      </w:r>
      <w:proofErr w:type="spellStart"/>
      <w:r w:rsidRPr="007E2BDF">
        <w:rPr>
          <w:rFonts w:ascii="Times New Roman" w:hAnsi="Times New Roman" w:cs="Times New Roman"/>
          <w:sz w:val="24"/>
          <w:szCs w:val="24"/>
        </w:rPr>
        <w:t>Spread</w:t>
      </w:r>
      <w:proofErr w:type="spellEnd"/>
      <w:r w:rsidRPr="007E2BDF">
        <w:rPr>
          <w:rFonts w:ascii="Times New Roman" w:hAnsi="Times New Roman" w:cs="Times New Roman"/>
          <w:sz w:val="24"/>
          <w:szCs w:val="24"/>
        </w:rPr>
        <w:t xml:space="preserve"> – арифметическое среднее из средних ежедневных котировок дифференциала Urals </w:t>
      </w:r>
      <w:proofErr w:type="spellStart"/>
      <w:r w:rsidRPr="007E2BDF">
        <w:rPr>
          <w:rFonts w:ascii="Times New Roman" w:hAnsi="Times New Roman" w:cs="Times New Roman"/>
          <w:sz w:val="24"/>
          <w:szCs w:val="24"/>
        </w:rPr>
        <w:t>Mediterranean</w:t>
      </w:r>
      <w:proofErr w:type="spellEnd"/>
      <w:r w:rsidRPr="007E2BDF">
        <w:rPr>
          <w:rFonts w:ascii="Times New Roman" w:hAnsi="Times New Roman" w:cs="Times New Roman"/>
          <w:sz w:val="24"/>
          <w:szCs w:val="24"/>
        </w:rPr>
        <w:t xml:space="preserve"> к нефти сорта форвардный датированный </w:t>
      </w:r>
      <w:proofErr w:type="spellStart"/>
      <w:r w:rsidRPr="007E2BDF">
        <w:rPr>
          <w:rFonts w:ascii="Times New Roman" w:hAnsi="Times New Roman" w:cs="Times New Roman"/>
          <w:sz w:val="24"/>
          <w:szCs w:val="24"/>
        </w:rPr>
        <w:t>Брент</w:t>
      </w:r>
      <w:proofErr w:type="spellEnd"/>
      <w:r w:rsidRPr="007E2BDF">
        <w:rPr>
          <w:rFonts w:ascii="Times New Roman" w:hAnsi="Times New Roman" w:cs="Times New Roman"/>
          <w:sz w:val="24"/>
          <w:szCs w:val="24"/>
        </w:rPr>
        <w:t>, публикуемых в «</w:t>
      </w:r>
      <w:proofErr w:type="spellStart"/>
      <w:r w:rsidRPr="007E2BDF">
        <w:rPr>
          <w:rFonts w:ascii="Times New Roman" w:hAnsi="Times New Roman" w:cs="Times New Roman"/>
          <w:sz w:val="24"/>
          <w:szCs w:val="24"/>
        </w:rPr>
        <w:t>Платтс</w:t>
      </w:r>
      <w:proofErr w:type="spellEnd"/>
      <w:r w:rsidRPr="007E2BDF">
        <w:rPr>
          <w:rFonts w:ascii="Times New Roman" w:hAnsi="Times New Roman" w:cs="Times New Roman"/>
          <w:sz w:val="24"/>
          <w:szCs w:val="24"/>
        </w:rPr>
        <w:t xml:space="preserve"> </w:t>
      </w:r>
      <w:proofErr w:type="spellStart"/>
      <w:r w:rsidRPr="007E2BDF">
        <w:rPr>
          <w:rFonts w:ascii="Times New Roman" w:hAnsi="Times New Roman" w:cs="Times New Roman"/>
          <w:sz w:val="24"/>
          <w:szCs w:val="24"/>
        </w:rPr>
        <w:t>Круд</w:t>
      </w:r>
      <w:proofErr w:type="spellEnd"/>
      <w:r w:rsidRPr="007E2BDF">
        <w:rPr>
          <w:rFonts w:ascii="Times New Roman" w:hAnsi="Times New Roman" w:cs="Times New Roman"/>
          <w:sz w:val="24"/>
          <w:szCs w:val="24"/>
        </w:rPr>
        <w:t xml:space="preserve"> Ойл </w:t>
      </w:r>
      <w:proofErr w:type="spellStart"/>
      <w:r w:rsidRPr="007E2BDF">
        <w:rPr>
          <w:rFonts w:ascii="Times New Roman" w:hAnsi="Times New Roman" w:cs="Times New Roman"/>
          <w:sz w:val="24"/>
          <w:szCs w:val="24"/>
        </w:rPr>
        <w:t>Маркетваер</w:t>
      </w:r>
      <w:proofErr w:type="spellEnd"/>
      <w:r w:rsidRPr="007E2BDF">
        <w:rPr>
          <w:rFonts w:ascii="Times New Roman" w:hAnsi="Times New Roman" w:cs="Times New Roman"/>
          <w:sz w:val="24"/>
          <w:szCs w:val="24"/>
        </w:rPr>
        <w:t xml:space="preserve">», за минусом котировок фрахта. </w:t>
      </w:r>
    </w:p>
    <w:p w14:paraId="7773BC53" w14:textId="77777777" w:rsidR="00175A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В цене товара, которая определена по формуле в соответствии с Договором, не указаны транспортные расходы продавца. Расходы по транспортировке нефти по магистральному нефтепроводу при заявлении таможенной процедуры экспорта Обществом не представлялись, соответственно указанные расходы не учтены в таможенной стоимости. Постановлением кассационной инстанции от 2 апреля 2018 года отказано в возбуждении кассационного производства. </w:t>
      </w:r>
    </w:p>
    <w:p w14:paraId="38FDB065" w14:textId="7764F764" w:rsidR="00175A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Таким образом, в отношении одного и того же инвестора по одним и тем же обстоятельствам имеются два прямо противоположных судебных акта, вступивших в законную силу. Отказано в удовлетворении аналогичных заявлений также по делам: – «С» к ДГД по Актюбинской области о признании незаконным и отмене уведомления об итогах рассмотрения жалобы от 1 августа 2017 года № 258; – ТОО «А» к ДГД Мангистауской области о признании незаконным и отмене уведомления от 18 июня 2018 года № 479/1. 3. Решением суда города отказано. </w:t>
      </w:r>
    </w:p>
    <w:p w14:paraId="3644679B" w14:textId="77777777" w:rsidR="00175A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Постановлением Астана от 31 октября 2018 года в удовлетворении заявления КПО по оспариванию уведомления о доначислении налогов и таможенных платежей в связи с невключением в таможенную стоимость расходов по транспортировке нефти было апелляционной инстанции от 29 марта 2019 года решение изменено, отменено в части отказа в удовлетворении заявления об отмене уведомления, с вынесением нового решения в этой части об удовлетворении заявления. Апелляционная инстанция указала, что к возникшим </w:t>
      </w:r>
      <w:r w:rsidRPr="007E2BDF">
        <w:rPr>
          <w:rFonts w:ascii="Times New Roman" w:hAnsi="Times New Roman" w:cs="Times New Roman"/>
          <w:sz w:val="24"/>
          <w:szCs w:val="24"/>
        </w:rPr>
        <w:lastRenderedPageBreak/>
        <w:t xml:space="preserve">правоотношениям применимым правом являются положения статей 121, 122 Указа Президента Республики Казахстан «О таможенном деле в Республике Казахстан» от 20 июля 1995 года № 2368 (далее – Указ). В соответствии со статьей 121 Указа основой для исчисления таможенных платежей, за исключением таможенных платежей, по которым применяются специфические ставки в соответствии со статьей 112 настоящего Указа, является таможенная стоимость товаров и транспортных средств, перемещаемых в качестве товара. </w:t>
      </w:r>
    </w:p>
    <w:p w14:paraId="436D6E70" w14:textId="77777777" w:rsidR="00175A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Согласно статье 122 Указа таможенная стоимость вывозимых за пределы таможенной территории Республики Казахстан товаров определяется на основе цены товара, указанной в счете-фактуре. Положения статьи 122 Указа не определяют каких-либо специфических особенностей при определении таможенной стоимости при экспорте биржевых товаров, следовательно, не имеет юридического значения специфика формирования рыночной стоимости (цены реализации) биржевого товара. Ключевым моментом является определение следующего обстоятельства, а именно, включены ли расходы по доставке в счет-фактуру или нет. </w:t>
      </w:r>
    </w:p>
    <w:p w14:paraId="2920788F" w14:textId="77777777" w:rsidR="00175ADF" w:rsidRDefault="0046038A"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Департаментом не приведены расчеты по доставке товаров до порта или иного места вывоза товара с таможенной территории Республики Казахстан, в связи с чем выводы суда первой инстанции о правомерности уведомления в этой части подлежат отмене с вынесением нового решения о признании уведомления незаконным и отмене в части доначисления таможенных сборов по транспортным расходам. Постановлением судьи судебной коллегии по гражданским делам Верховного суда РК от 2 сентября 2019 года отказано в передаче ходатайства о пересмотре решения для рассмотрения в судебном заседании судебной коллегии по гражданским делам Верховного Суда.</w:t>
      </w:r>
      <w:r w:rsidR="00D9139D" w:rsidRPr="007E2BDF">
        <w:rPr>
          <w:rFonts w:ascii="Times New Roman" w:hAnsi="Times New Roman" w:cs="Times New Roman"/>
          <w:sz w:val="24"/>
          <w:szCs w:val="24"/>
        </w:rPr>
        <w:t xml:space="preserve"> </w:t>
      </w:r>
    </w:p>
    <w:p w14:paraId="2424C880" w14:textId="77777777" w:rsidR="00B4115D" w:rsidRDefault="00D9139D"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При определении таможенной стоимости вывозимых товаров применяется национальное таможенное законодательство (пункт 4 статьи 38 Таможенного кодекса ЕАЭС). При определении таможенной стоимости вывозимых с таможенной территории Евразийского экономического союза товаров к цене, фактически уплаченной или подлежащей уплате за эти товары, добавляются дополнительные начисления, если они не были ранее включены, а именно: …2) расходы на погрузку, разгрузку или перегрузку вывозимых товаров и проведение иных операций, связанных с их перевозкой (транспортировкой) до места убытия таких товаров с таможенной территории Евразийского экономического союза, а если Комиссией в зависимости от вида транспорта, которым осуществляется перевозка (транспортировка) вывозимых товаров, и особенностей их перевозки (транспортировки) определены иные места, – до места, определенного Комиссией; (Статья 73 Кодекса Республики Казахстан «О таможенном регулировании в Республике Казахстан») Указанные дополнительные начисления к цене, фактически уплаченной или подлежащей уплате за вывозимые товары, производятся на основании достоверной, количественно определяемой и документально подтвержденной информации. 3. В отношении нестабилизированных контрактов на недропользование применяются: – фиксированная ставка сборов за таможенное оформление; – текущее таможенное законодательство; – увеличение/уменьшение таможенной стоимости какого-либо принципиального значения не имеет; – размер экспортной таможенной пошлины также является фиксированным и рассчитывается в отношении 1 тонны. 4. В правоприменительной практике перевозки нефти возникают вопросы, связанные со включением либо невключением транспортных расходов до границы Казахстана и России в таможенную стоимость экспортируемого сырья. Данное обстоятельство имеет значение лишь для стабилизированных в таможенном отношении контрактов на недропользование. То есть тех, к кому применяется ставка сборов за таможенное оформление в размере </w:t>
      </w:r>
      <w:proofErr w:type="gramStart"/>
      <w:r w:rsidRPr="007E2BDF">
        <w:rPr>
          <w:rFonts w:ascii="Times New Roman" w:hAnsi="Times New Roman" w:cs="Times New Roman"/>
          <w:sz w:val="24"/>
          <w:szCs w:val="24"/>
        </w:rPr>
        <w:t>0,2 % – 0,4 %</w:t>
      </w:r>
      <w:proofErr w:type="gramEnd"/>
      <w:r w:rsidRPr="007E2BDF">
        <w:rPr>
          <w:rFonts w:ascii="Times New Roman" w:hAnsi="Times New Roman" w:cs="Times New Roman"/>
          <w:sz w:val="24"/>
          <w:szCs w:val="24"/>
        </w:rPr>
        <w:t xml:space="preserve"> от таможенной стоимости товаров. </w:t>
      </w:r>
    </w:p>
    <w:p w14:paraId="7242E727" w14:textId="77777777" w:rsidR="00B4115D" w:rsidRDefault="00D9139D" w:rsidP="007E2BDF">
      <w:pPr>
        <w:ind w:firstLine="720"/>
        <w:jc w:val="both"/>
        <w:rPr>
          <w:rFonts w:ascii="Times New Roman" w:hAnsi="Times New Roman" w:cs="Times New Roman"/>
          <w:sz w:val="24"/>
          <w:szCs w:val="24"/>
        </w:rPr>
      </w:pPr>
      <w:r w:rsidRPr="007E2BDF">
        <w:rPr>
          <w:rFonts w:ascii="Times New Roman" w:hAnsi="Times New Roman" w:cs="Times New Roman"/>
          <w:sz w:val="24"/>
          <w:szCs w:val="24"/>
        </w:rPr>
        <w:lastRenderedPageBreak/>
        <w:t xml:space="preserve">Ставка таможенных сборов в размере </w:t>
      </w:r>
      <w:proofErr w:type="gramStart"/>
      <w:r w:rsidRPr="007E2BDF">
        <w:rPr>
          <w:rFonts w:ascii="Times New Roman" w:hAnsi="Times New Roman" w:cs="Times New Roman"/>
          <w:sz w:val="24"/>
          <w:szCs w:val="24"/>
        </w:rPr>
        <w:t>0,2 % – 0,4 %</w:t>
      </w:r>
      <w:proofErr w:type="gramEnd"/>
      <w:r w:rsidRPr="007E2BDF">
        <w:rPr>
          <w:rFonts w:ascii="Times New Roman" w:hAnsi="Times New Roman" w:cs="Times New Roman"/>
          <w:sz w:val="24"/>
          <w:szCs w:val="24"/>
        </w:rPr>
        <w:t xml:space="preserve"> от таможенной стоимости была установлена постановлением Правительства Республики Казахстан от 7 ноября 1995 годах № 1479, в рамках реализации статьи 118 Закона Республики Казахстан «О таможенном деле в Республике Казахстан» от 20 июля 1995 года № 2368. 5. Закон о таможенном деле применялся с 28 июля 1995 года по 1 мая 2003 года. </w:t>
      </w:r>
    </w:p>
    <w:p w14:paraId="23905A16"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Таможенная стоимость вывозимых за пределы таможенной территории Республики Казахстан товаров определяется на основе цены товара, указанной в счете-фактуре, а также следующих фактических расходов, если они не включены в счет-фактуру: 1) расходов по доставке товара до аэропорта, порта или иного места вывоза товара с таможенной территории Республики Казахстан: стоимость транспортировки; расходы по погрузке, выгрузке, перегрузке и перевалке товаров; страховая сумма (статья 122 Закона о таможенном деле) </w:t>
      </w:r>
    </w:p>
    <w:p w14:paraId="77D68171" w14:textId="204C20BB"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6. При рассмотрении дел данной категории, исходя из положений законодательства, следует учитывать: 1) наличие/отсутствие в контракте на недропользование (ОСРП/СРП) прямого условия о применении положений Закона о таможенном деле; 2) содержание счёта-фактуры. Подзаконные акты (Инструкции), принятые в рамках реализации Закона о таможенном деле, регулировали и детализировали случаи при ввозе товаров, при этом какие-либо особенности при вывозе товаров не регламентировались.</w:t>
      </w:r>
    </w:p>
    <w:p w14:paraId="178948D9"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7. Статья 306 Таможенного кодекса РК (действовавшего с 1 мая 2003 года по 30 июня 2010 года) предусматривала, что при определении таможенной стоимости товара в цену сделки включались следующие расходы, если они не были ранее включены: 1) расходы по доставке товара до аэропорта, порта или иного места вывоза товара с таможенной территории Республики Казахстан: стоимость транспортировки; расходы по погрузке, разгрузке, перегрузке и перевалке товаров. </w:t>
      </w:r>
    </w:p>
    <w:p w14:paraId="4198DC67"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8. При отсутствии цены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w:t>
      </w:r>
    </w:p>
    <w:p w14:paraId="76FDFE54"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9. Статья 372 Таможенного кодекса таможенного союза (применявшаяся с 1 июля 2010 года по 1 января 2018 года.) гарантировала применение того таможенного законодательства, в соответствии с которым действовали соответствующие контракты на недропользование (гарантии стабильности и неизменности закрепленного таможенного законодательства). </w:t>
      </w:r>
    </w:p>
    <w:p w14:paraId="3273DE8F"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10. Статья 98 Кодекса РК «О таможенном деле в РК», принятого в реализацию Таможенного кодекса таможенного союза, сохранившая правила определения таможенной стоимости вывозимых товаров, с изменением слов «…с таможенной территории Республики Казахстан» на «…с таможенной территории Таможенного союза». </w:t>
      </w:r>
    </w:p>
    <w:p w14:paraId="55B7DF2F"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11. Статья 460 действующего Таможенного кодекса ЕАЭС (применяется с 1 января 2018 года) идентично предусматривает применение норм того таможенного законодательства, в соответствии с которым действуют контракты на недропользование. </w:t>
      </w:r>
    </w:p>
    <w:p w14:paraId="567608D2"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12. Согласно статье 108 Кодекса Республики Казахстан «О таможенном деле в Республики Казахстан» от 30 июня 2010 года декларирование таможенной стоимости вывозимых товаров осуществляется путем заявления сведений: – о величине таможенной стоимости товаров, – об обстоятельствах и условиях внешнеэкономической сделки, имеющих отношение к определению таможенной стоимости товаров, – подтверждающих их документов. Следовательно, при проверке доводов участников спора, осуществляющих </w:t>
      </w:r>
      <w:r w:rsidRPr="007E2BDF">
        <w:rPr>
          <w:rFonts w:ascii="Times New Roman" w:hAnsi="Times New Roman" w:cs="Times New Roman"/>
          <w:sz w:val="24"/>
          <w:szCs w:val="24"/>
        </w:rPr>
        <w:lastRenderedPageBreak/>
        <w:t xml:space="preserve">экспорт товаров, подлежат изучению: – обстоятельства и условия внешнеэкономической сделки, – тип товара, – особенности ценообразования, – место формирования рыночной цены, – условия поставки согласно Инкотермс, определяющие распределение расходов между продавцом и покупателем, – место убытия товара с таможенной территории Евразийского союза. Указанная норма фактически отсылает к необходимости анализа экономического содержания совершаемой сделки по экспорту нефти, поскольку речь идет о специфическом товаре с особенным ценообразованием, независящим от воли сторон сделки. </w:t>
      </w:r>
    </w:p>
    <w:p w14:paraId="0F10DCF6"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Сырая нефть является биржевым товаром согласно постановлению Правительства Республики Казахстан от 6 мая 2009 года № 638, цена на который формируется на рынке сбыта и находится в прямой зависимости от мировой конъюнктуры. Она не формируется от себестоимости на месторождении методом «затраты плюс». Экспортер несет затраты по производству и доставке нефти на рынок сбыта для передачи покупателю, реализуя нефть по цене рынка сбыта. </w:t>
      </w:r>
    </w:p>
    <w:p w14:paraId="44EBFCF9" w14:textId="79682399"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Экспортер не может реализовать нефть по цене выше рыночной, прибавляя понесенные транспортные и прочие затраты к рыночной цене, в связи с чем отсутствует экономическое обоснование увеличения таможенной стоимости на такие затраты. Основой таможенной стоимости товаров, вывозимых на экспорт с таможенной территории ЕАЭС по биржевым товарам, является цена сделки, фактически уплаченная или подлежащая уплате при продаже на экспорт. По контрактам на экспорт нефти, по рассмотренным делам, нефть реализована на условиях FOB (Франко борт) из портов Российской Федерации (порт Новороссийск, Южная </w:t>
      </w:r>
      <w:proofErr w:type="spellStart"/>
      <w:r w:rsidRPr="007E2BDF">
        <w:rPr>
          <w:rFonts w:ascii="Times New Roman" w:hAnsi="Times New Roman" w:cs="Times New Roman"/>
          <w:sz w:val="24"/>
          <w:szCs w:val="24"/>
        </w:rPr>
        <w:t>Озереевка</w:t>
      </w:r>
      <w:proofErr w:type="spellEnd"/>
      <w:r w:rsidRPr="007E2BDF">
        <w:rPr>
          <w:rFonts w:ascii="Times New Roman" w:hAnsi="Times New Roman" w:cs="Times New Roman"/>
          <w:sz w:val="24"/>
          <w:szCs w:val="24"/>
        </w:rPr>
        <w:t xml:space="preserve">, Усть-Луга, Приморск и т.д.) </w:t>
      </w:r>
      <w:hyperlink r:id="rId6" w:history="1">
        <w:r w:rsidRPr="00167D25">
          <w:rPr>
            <w:rStyle w:val="aa"/>
            <w:rFonts w:ascii="Times New Roman" w:hAnsi="Times New Roman" w:cs="Times New Roman"/>
            <w:sz w:val="24"/>
            <w:szCs w:val="24"/>
          </w:rPr>
          <w:t>на основе ценовых котировок независимых агентств.</w:t>
        </w:r>
      </w:hyperlink>
      <w:r w:rsidRPr="007E2BDF">
        <w:rPr>
          <w:rFonts w:ascii="Times New Roman" w:hAnsi="Times New Roman" w:cs="Times New Roman"/>
          <w:sz w:val="24"/>
          <w:szCs w:val="24"/>
        </w:rPr>
        <w:t xml:space="preserve"> Такие котировки оцениваются и публикуются агентствами по отношению к конкретному географическому рынку сбыта, базису поставки и сорту/качеству реализуемой нефти. Термин FOB согласно «Инкотермс-2010» означает, что продавец поставляет товар на борт судна, номинированного покупателем, в поименованном порту погрузки или обеспечивает предоставление поставленного таким образом товара. </w:t>
      </w:r>
    </w:p>
    <w:p w14:paraId="4974ECAF" w14:textId="77777777" w:rsidR="00B4115D" w:rsidRDefault="00D9139D"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В соответствии со статьей А.6 «Инкотермс-2010» продавец обязан нести все расходы, связанные с товаром, до момента перехода товара через поручни судна в назначенном</w:t>
      </w:r>
      <w:r w:rsidR="00BF18F8" w:rsidRPr="007E2BDF">
        <w:rPr>
          <w:rFonts w:ascii="Times New Roman" w:hAnsi="Times New Roman" w:cs="Times New Roman"/>
          <w:sz w:val="24"/>
          <w:szCs w:val="24"/>
        </w:rPr>
        <w:t xml:space="preserve"> порту погрузки и оплатить, если потребуется, все расходы, связанные с выполнением таможенных формальностей для экспорта. Поскольку продажа нефти осуществляется в пункте поставки товара на условиях FOB морской порт, все расходы, понесённые продавцом до передачи права собственности покупателю, включая транспортные расходы и расходы в порту, учтены в котировке. </w:t>
      </w:r>
    </w:p>
    <w:p w14:paraId="5B18256D" w14:textId="77777777" w:rsidR="00B4115D"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13. Решением Комиссии Таможенного союза от 20 сентября 2010 года № 378 «О классификаторах, используемых при заполнении таможенных деклараций» утверждено Приложение 8 – классификатор видов документов. В пункте 4 Приложения 8 «Коммерческие документы и документы, подтверждающие заявленную таможенную стоимость товаров» под кодом 04121 предусмотрено использование «Котировок мировых бирж». Таким образом, таможенное законодательство ЕАЭС устанавливает котировки в качестве подтверждения заявленной таможенной стоимости товаров с учетом соответствующего рынка сбыта. </w:t>
      </w:r>
    </w:p>
    <w:p w14:paraId="3DAFDD98" w14:textId="77777777" w:rsidR="00B4115D"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14. Расчет ставок таможенных пошлин производится Комитетом Государственных доходов также исходя из рыночных цен сырой нефти, сложившихся на мировых рынках нефтяного сырья согласно Приложению 2 Приказа Министерства Национальной Экономики от 17 февраля 2016 года № 81. Расчеты не производятся на основании себестоимости реализуемой нефти. </w:t>
      </w:r>
    </w:p>
    <w:p w14:paraId="674408B7" w14:textId="77777777" w:rsidR="00B4115D"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lastRenderedPageBreak/>
        <w:t xml:space="preserve">15. Форма и порядок заполнения декларации на товары утверждены Решением Комиссии Таможенного союза от 20 мая 2010 года № 257. В установленной форме декларации на товары находится графа 20 «Условия поставки». Согласно порядку заполнения графы 20 декларации на товары: «В графе указываются сведения об условиях поставки, если декларируемые товары вывозятся с таможенной территории или завершается действие таможенной процедуры в отношении ранее вывезенных товаров в счет исполнения обязательств по договору (контракту), заключенному при совершении сделки. </w:t>
      </w:r>
    </w:p>
    <w:p w14:paraId="3EC63408" w14:textId="77777777" w:rsidR="00B4115D"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Во втором подразделе графы указывается код условия поставки (базис поставки) в соответствии с классификатором условий поставки и наименование географического пункта (согласованного места поставки)». В свою очередь, Решением Комиссии Таможенного союза от 20 сентября 2010 года № 378 «О классификаторах, используемых при заполнении таможенных деклараций» утверждено Приложение 13 – классификатор условий поставки. Классификатор условий поставки состоит из кодов и их толкований в соответствии с «Инкотермс», так например – «FOB - СВОБОДНО НА БОРТУ СУДНА - Указанный порт отгрузки». Таким образом, условия Инкотермс используются для заполнения графы 20 декларации на товары с целью определения места формирования таможенной стоимости и, соответственно, наличия в ней расходов по доставке товаров до границы ЕАЭС. Подтверждением данного вывода является порядок заполнения графы 46 «Статистическая стоимость» декларации на товары. </w:t>
      </w:r>
    </w:p>
    <w:p w14:paraId="6ED80383" w14:textId="77777777" w:rsidR="00B4115D"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Согласно порядку заполнения графы 46 декларации на товары: «В графе указывается цифровыми символами без разделителей и пробелов статистическая стоимость товара в долларах США, округленная по математическим правилам с точностью до двух знаков после запятой. Статистическая стоимость товара рассчитывается на основе таможенной стоимости товара, указанной в графе 45 ДТ, за исключением случаев, указанных в абзацах четвертом и пятом (после таблицы) настоящего подпункта». Абзац пятый (после таблицы) содержит следующее предписание: «Статистическая стоимость товара рассчитывается путем приведения таможенной стоимости товара, а в случаях, указанных в абзаце четвертом (после таблицы) настоящего подпункта, - цены товара к условию поставки FOB – последний порт убытия с территории государства – члена Союза, являющегося страной отправления товара (DAP – место пересечения границы государства – члена Союза, являющегося страной отправления товара)». </w:t>
      </w:r>
    </w:p>
    <w:p w14:paraId="0CE833A2" w14:textId="77777777" w:rsidR="00B4115D"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Следовательно, для определения статистической стоимости из таможенной стоимости вывозимых на экспорт товаров должны быть вычтены расходы, понесенные продавцом за пределами территории Республики Казахстан. Таким образом, положения нормативных документов Евразийского экономического союза по таможенным вопросам подтверждают использование «Инкотермс» и мировых котировок стоимости товаров для определения таможенной стоимости вывозимых на экспорт товаров и соответствуют положениям статьи 122 Закона Республики Казахстан от 20 июля 1995 года № 2368 «О таможенном деле в Республике Казахстан», статьи 98 Кодекса Республики Казахстан от 30 июня 2010 года № 296-IV «О таможенном деле в Республике Казахстан», статьи 73 Кодекса Республики Казахстан от 26 декабря 2017 года № 123-VI «О таможенном регулировании в Республике Казахстан». </w:t>
      </w:r>
    </w:p>
    <w:p w14:paraId="101FD643" w14:textId="77777777" w:rsidR="00B4115D"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При рыночном ценообразовании биржевых товаров, таких как нефть, на основании независимых источников информации о рыночных ценах, официально признанных в Республике Казахстан, расходы, определённые статьей 98 Кодекса РК «О таможенном деле в РК», являются включёнными в цену сделки исходя из условий Инкотермс, указанных в </w:t>
      </w:r>
      <w:r w:rsidRPr="007E2BDF">
        <w:rPr>
          <w:rFonts w:ascii="Times New Roman" w:hAnsi="Times New Roman" w:cs="Times New Roman"/>
          <w:sz w:val="24"/>
          <w:szCs w:val="24"/>
        </w:rPr>
        <w:lastRenderedPageBreak/>
        <w:t xml:space="preserve">контракте, за исключением случаев, когда контрактом предусмотрены особые условия возмещения расходов продавцом или покупателем. </w:t>
      </w:r>
    </w:p>
    <w:p w14:paraId="00379CCD" w14:textId="16BAEBF1" w:rsidR="00A81D5F" w:rsidRPr="007E2BDF" w:rsidRDefault="00BF18F8" w:rsidP="00B4115D">
      <w:pPr>
        <w:ind w:firstLine="720"/>
        <w:jc w:val="both"/>
        <w:rPr>
          <w:rFonts w:ascii="Times New Roman" w:hAnsi="Times New Roman" w:cs="Times New Roman"/>
          <w:sz w:val="24"/>
          <w:szCs w:val="24"/>
        </w:rPr>
      </w:pPr>
      <w:r w:rsidRPr="007E2BDF">
        <w:rPr>
          <w:rFonts w:ascii="Times New Roman" w:hAnsi="Times New Roman" w:cs="Times New Roman"/>
          <w:sz w:val="24"/>
          <w:szCs w:val="24"/>
        </w:rPr>
        <w:t xml:space="preserve">16. Следует иметь в виду, что при наличии внешнеэкономической сделки, в которой стоимость товара определяется по биржевым котировкам, требования таможенных органов по представлению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вывозимых товаров, являются неправомерными, так как такое требование может предъявляться только в случае отсутствия цены согласно пункту 7 статьи 73 Кодекса РК. В связи с этим требования таможенных органов по разбивке нефтяных котировок, предоставляемых международными источниками </w:t>
      </w:r>
      <w:hyperlink r:id="rId7" w:history="1">
        <w:r w:rsidRPr="00B4115D">
          <w:rPr>
            <w:rStyle w:val="aa"/>
            <w:rFonts w:ascii="Times New Roman" w:hAnsi="Times New Roman" w:cs="Times New Roman"/>
            <w:sz w:val="24"/>
            <w:szCs w:val="24"/>
          </w:rPr>
          <w:t>рыночных цен, на затраты по производству, реализации и транспортировки</w:t>
        </w:r>
      </w:hyperlink>
      <w:r w:rsidRPr="007E2BDF">
        <w:rPr>
          <w:rFonts w:ascii="Times New Roman" w:hAnsi="Times New Roman" w:cs="Times New Roman"/>
          <w:sz w:val="24"/>
          <w:szCs w:val="24"/>
        </w:rPr>
        <w:t xml:space="preserve"> нефти не могут составлять доказательную базу по формированию цены. Выводы и предложения Рыночная цена нефти, приведённая к базису поставки FOB, является ценой сделки, фактически уплаченной и подлежащей уплате при продаже на экспорт, включающей расходы по транспортировке товаров и другие расходы до места вывоза с таможенной территории Евразийского экономического союза.</w:t>
      </w:r>
      <w:r w:rsidR="00CF5BD5" w:rsidRPr="007E2BDF">
        <w:rPr>
          <w:rFonts w:ascii="Times New Roman" w:hAnsi="Times New Roman" w:cs="Times New Roman"/>
          <w:sz w:val="24"/>
          <w:szCs w:val="24"/>
        </w:rPr>
        <w:t xml:space="preserve"> </w:t>
      </w:r>
    </w:p>
    <w:p w14:paraId="7EA7FA65" w14:textId="0D3DEF47" w:rsidR="00F173BA" w:rsidRPr="007E2BDF" w:rsidRDefault="00F173BA" w:rsidP="002570B0">
      <w:pPr>
        <w:rPr>
          <w:rFonts w:ascii="Times New Roman" w:hAnsi="Times New Roman" w:cs="Times New Roman"/>
          <w:sz w:val="24"/>
          <w:szCs w:val="24"/>
        </w:rPr>
      </w:pPr>
    </w:p>
    <w:p w14:paraId="1C113091" w14:textId="5A80DFE0" w:rsidR="00F173BA" w:rsidRPr="007E2BDF" w:rsidRDefault="00F173BA" w:rsidP="002570B0">
      <w:pPr>
        <w:rPr>
          <w:rFonts w:ascii="Times New Roman" w:hAnsi="Times New Roman" w:cs="Times New Roman"/>
          <w:sz w:val="24"/>
          <w:szCs w:val="24"/>
        </w:rPr>
      </w:pPr>
    </w:p>
    <w:p w14:paraId="1D196CDE" w14:textId="737247FA" w:rsidR="00F173BA" w:rsidRPr="007E2BDF" w:rsidRDefault="00F173BA" w:rsidP="002570B0">
      <w:pPr>
        <w:rPr>
          <w:rFonts w:ascii="Times New Roman" w:hAnsi="Times New Roman" w:cs="Times New Roman"/>
          <w:sz w:val="24"/>
          <w:szCs w:val="24"/>
        </w:rPr>
      </w:pPr>
    </w:p>
    <w:p w14:paraId="02403F08" w14:textId="75BEB719" w:rsidR="00F173BA" w:rsidRPr="007E2BDF" w:rsidRDefault="00F173BA" w:rsidP="002570B0">
      <w:pPr>
        <w:rPr>
          <w:rFonts w:ascii="Times New Roman" w:hAnsi="Times New Roman" w:cs="Times New Roman"/>
          <w:sz w:val="24"/>
          <w:szCs w:val="24"/>
        </w:rPr>
      </w:pPr>
    </w:p>
    <w:p w14:paraId="308325D5" w14:textId="324F2E94" w:rsidR="00F173BA" w:rsidRPr="007E2BDF" w:rsidRDefault="00F173BA" w:rsidP="002570B0">
      <w:pPr>
        <w:rPr>
          <w:rFonts w:ascii="Times New Roman" w:hAnsi="Times New Roman" w:cs="Times New Roman"/>
          <w:sz w:val="24"/>
          <w:szCs w:val="24"/>
        </w:rPr>
      </w:pPr>
    </w:p>
    <w:p w14:paraId="22BAA135" w14:textId="6CC745FE" w:rsidR="00F173BA" w:rsidRPr="007E2BDF" w:rsidRDefault="00F173BA" w:rsidP="002570B0">
      <w:pPr>
        <w:rPr>
          <w:rFonts w:ascii="Times New Roman" w:hAnsi="Times New Roman" w:cs="Times New Roman"/>
          <w:sz w:val="24"/>
          <w:szCs w:val="24"/>
        </w:rPr>
      </w:pPr>
    </w:p>
    <w:p w14:paraId="33D51603" w14:textId="10BA4AEF" w:rsidR="00F173BA" w:rsidRPr="007E2BDF" w:rsidRDefault="00F173BA" w:rsidP="002570B0">
      <w:pPr>
        <w:rPr>
          <w:rFonts w:ascii="Times New Roman" w:hAnsi="Times New Roman" w:cs="Times New Roman"/>
          <w:sz w:val="24"/>
          <w:szCs w:val="24"/>
        </w:rPr>
      </w:pPr>
    </w:p>
    <w:p w14:paraId="55D95E22" w14:textId="0EFD17BF" w:rsidR="00F173BA" w:rsidRPr="007E2BDF" w:rsidRDefault="00F173BA" w:rsidP="002570B0">
      <w:pPr>
        <w:rPr>
          <w:rFonts w:ascii="Times New Roman" w:hAnsi="Times New Roman" w:cs="Times New Roman"/>
          <w:sz w:val="24"/>
          <w:szCs w:val="24"/>
        </w:rPr>
      </w:pPr>
    </w:p>
    <w:p w14:paraId="1E84A240" w14:textId="61513D00" w:rsidR="00F173BA" w:rsidRPr="007E2BDF" w:rsidRDefault="00F173BA" w:rsidP="002570B0">
      <w:pPr>
        <w:rPr>
          <w:rFonts w:ascii="Times New Roman" w:hAnsi="Times New Roman" w:cs="Times New Roman"/>
          <w:sz w:val="24"/>
          <w:szCs w:val="24"/>
        </w:rPr>
      </w:pPr>
    </w:p>
    <w:p w14:paraId="049E1B58" w14:textId="408BB97D" w:rsidR="00F173BA" w:rsidRPr="007E2BDF" w:rsidRDefault="00F173BA" w:rsidP="002570B0">
      <w:pPr>
        <w:rPr>
          <w:rFonts w:ascii="Times New Roman" w:hAnsi="Times New Roman" w:cs="Times New Roman"/>
          <w:sz w:val="24"/>
          <w:szCs w:val="24"/>
        </w:rPr>
      </w:pPr>
    </w:p>
    <w:p w14:paraId="3F19C72F" w14:textId="49CAEBA5" w:rsidR="00F173BA" w:rsidRPr="007E2BDF" w:rsidRDefault="00F173BA" w:rsidP="00F173BA">
      <w:pPr>
        <w:tabs>
          <w:tab w:val="left" w:pos="6948"/>
        </w:tabs>
        <w:rPr>
          <w:rFonts w:ascii="Times New Roman" w:hAnsi="Times New Roman" w:cs="Times New Roman"/>
          <w:sz w:val="24"/>
          <w:szCs w:val="24"/>
        </w:rPr>
      </w:pPr>
      <w:r w:rsidRPr="007E2BDF">
        <w:rPr>
          <w:rFonts w:ascii="Times New Roman" w:hAnsi="Times New Roman" w:cs="Times New Roman"/>
          <w:sz w:val="24"/>
          <w:szCs w:val="24"/>
        </w:rPr>
        <w:tab/>
      </w:r>
    </w:p>
    <w:sectPr w:rsidR="00F173BA" w:rsidRPr="007E2BD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1FD63" w14:textId="77777777" w:rsidR="00940FAA" w:rsidRDefault="00940FAA" w:rsidP="00702393">
      <w:pPr>
        <w:spacing w:after="0" w:line="240" w:lineRule="auto"/>
      </w:pPr>
      <w:r>
        <w:separator/>
      </w:r>
    </w:p>
  </w:endnote>
  <w:endnote w:type="continuationSeparator" w:id="0">
    <w:p w14:paraId="1CE8E45F" w14:textId="77777777" w:rsidR="00940FAA" w:rsidRDefault="00940F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7A23" w14:textId="77777777" w:rsidR="00940FAA" w:rsidRDefault="00940FAA" w:rsidP="00702393">
      <w:pPr>
        <w:spacing w:after="0" w:line="240" w:lineRule="auto"/>
      </w:pPr>
      <w:r>
        <w:separator/>
      </w:r>
    </w:p>
  </w:footnote>
  <w:footnote w:type="continuationSeparator" w:id="0">
    <w:p w14:paraId="36394749" w14:textId="77777777" w:rsidR="00940FAA" w:rsidRDefault="00940F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67D25"/>
    <w:rsid w:val="00175ADF"/>
    <w:rsid w:val="00193E1B"/>
    <w:rsid w:val="001C5801"/>
    <w:rsid w:val="001E7ED8"/>
    <w:rsid w:val="002570B0"/>
    <w:rsid w:val="002A1A72"/>
    <w:rsid w:val="002B659E"/>
    <w:rsid w:val="00315990"/>
    <w:rsid w:val="00327D34"/>
    <w:rsid w:val="00327E86"/>
    <w:rsid w:val="00396063"/>
    <w:rsid w:val="003C77EA"/>
    <w:rsid w:val="003E3623"/>
    <w:rsid w:val="00442855"/>
    <w:rsid w:val="0046038A"/>
    <w:rsid w:val="00461793"/>
    <w:rsid w:val="005A3B78"/>
    <w:rsid w:val="006B0A4D"/>
    <w:rsid w:val="006E2D0A"/>
    <w:rsid w:val="00702393"/>
    <w:rsid w:val="00722D19"/>
    <w:rsid w:val="007E2BDF"/>
    <w:rsid w:val="008A7236"/>
    <w:rsid w:val="008E7DF6"/>
    <w:rsid w:val="0091354D"/>
    <w:rsid w:val="00940023"/>
    <w:rsid w:val="00940FAA"/>
    <w:rsid w:val="0094655E"/>
    <w:rsid w:val="009E39AE"/>
    <w:rsid w:val="009E6904"/>
    <w:rsid w:val="00A23573"/>
    <w:rsid w:val="00A45B15"/>
    <w:rsid w:val="00A81D5F"/>
    <w:rsid w:val="00B31BDB"/>
    <w:rsid w:val="00B4115D"/>
    <w:rsid w:val="00BD7730"/>
    <w:rsid w:val="00BF18F8"/>
    <w:rsid w:val="00C16D9C"/>
    <w:rsid w:val="00CB275A"/>
    <w:rsid w:val="00CF5BD5"/>
    <w:rsid w:val="00D02DFB"/>
    <w:rsid w:val="00D9139D"/>
    <w:rsid w:val="00DB660C"/>
    <w:rsid w:val="00DF237E"/>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4115D"/>
    <w:rPr>
      <w:color w:val="0563C1" w:themeColor="hyperlink"/>
      <w:u w:val="single"/>
    </w:rPr>
  </w:style>
  <w:style w:type="character" w:styleId="ab">
    <w:name w:val="Unresolved Mention"/>
    <w:basedOn w:val="a0"/>
    <w:uiPriority w:val="99"/>
    <w:semiHidden/>
    <w:unhideWhenUsed/>
    <w:rsid w:val="00B4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3374</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2021-12-10T09:23:00Z</dcterms:modified>
</cp:coreProperties>
</file>