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C3B8F" w14:textId="48F87EEA" w:rsidR="00B70075" w:rsidRPr="00221617" w:rsidRDefault="00221617" w:rsidP="00221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1617">
        <w:rPr>
          <w:rFonts w:ascii="Times New Roman" w:hAnsi="Times New Roman" w:cs="Times New Roman"/>
          <w:b/>
          <w:bCs/>
          <w:sz w:val="24"/>
          <w:szCs w:val="24"/>
        </w:rPr>
        <w:t>Защита по административным делам</w:t>
      </w:r>
      <w:r w:rsidR="003C3E04" w:rsidRPr="002216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617">
        <w:rPr>
          <w:rFonts w:ascii="Times New Roman" w:hAnsi="Times New Roman" w:cs="Times New Roman"/>
          <w:b/>
          <w:bCs/>
          <w:sz w:val="24"/>
          <w:szCs w:val="24"/>
        </w:rPr>
        <w:t>от Адвокатской конторы</w:t>
      </w:r>
    </w:p>
    <w:p w14:paraId="11EC7FB8" w14:textId="77777777" w:rsidR="00B70075" w:rsidRPr="003C3E04" w:rsidRDefault="00B7007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4218D6" w14:textId="77777777" w:rsidR="003C3E04" w:rsidRDefault="00B70075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164 КоАП предусмотрена ответственность за непредоставление субъектом естественной монополии в уполномоченные органы, осуществляющие руководство в сферах естественных монополий, информатизации и связи, гражданской авиации, информации, отчета и уведомления установленных форм, а равно предоставление информации, отчета и уведомления установленных форм с нарушением установленных сроков (часть 2 повторность). </w:t>
      </w:r>
    </w:p>
    <w:p w14:paraId="4DEA0F26" w14:textId="77777777" w:rsidR="003C3E04" w:rsidRDefault="00B70075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Специальный субъект: субъект естественной монополии. Круг обстоятельств, подлежащих установлению: 1) возложена ли на субъекта обязанность по предоставлению информации, отчета и уведомления (далее – документы) ; 2) является ли орган, в который подлежат сдаче документы, уполномоченным органом, осуществляющим руководство в сферах естественных монополий, информатизации и связи, гражданской авиации и имеет ли он такие полномочия по приему данных документов; 3) соответствуют ли представленные документы формам, утвержденным нормативным правовым актом; 4) соблюден ли лицом срок предоставления документов. Обобщение показало, что при рассмотрении дел по частям </w:t>
      </w:r>
      <w:proofErr w:type="gramStart"/>
      <w:r w:rsidRPr="003C3E04">
        <w:rPr>
          <w:rFonts w:ascii="Times New Roman" w:hAnsi="Times New Roman" w:cs="Times New Roman"/>
          <w:sz w:val="24"/>
          <w:szCs w:val="24"/>
        </w:rPr>
        <w:t>1- 2</w:t>
      </w:r>
      <w:proofErr w:type="gramEnd"/>
      <w:r w:rsidRPr="003C3E04">
        <w:rPr>
          <w:rFonts w:ascii="Times New Roman" w:hAnsi="Times New Roman" w:cs="Times New Roman"/>
          <w:sz w:val="24"/>
          <w:szCs w:val="24"/>
        </w:rPr>
        <w:t xml:space="preserve"> статьи 164 КоАП не возникает особых трудностей при квалификации действий правонарушителя, вместе с тем судам следует иметь в виду, что юридическое значение имеет правильное определение норм материального закона, которые нарушены лицом. </w:t>
      </w:r>
    </w:p>
    <w:p w14:paraId="5CC16D16" w14:textId="77777777" w:rsidR="003C3E04" w:rsidRDefault="00B70075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Применение большого количества подзаконных актов, регламентирующих порядок, сроки и формы предоставления отчетности, информации, уведомления. Постановлением судьи САС города Рудный от 12 июня 2018 года к административной ответственности привлечено АО «С» (далее – Общество) по части 1 статьи 164 КоАП. Общество допустило нарушение, выразившееся в непредставлении отчета о прибылях и убытках по установленной форме. Размер штрафа составил 800 МРП – 1 924 000 тенге. Постановлением Костанайского областного суда от 30 июля 2018 года постановление САС города Рудный оставлено без изменения. </w:t>
      </w:r>
    </w:p>
    <w:p w14:paraId="4B3013EB" w14:textId="7540D452" w:rsidR="003C3E04" w:rsidRDefault="00B70075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>В соответствии с подпунктом 7-5) статьи 7 Закона Республики Казахстан «О естественных монополиях» (действовавшего на момент совершения правонарушения) (далее - закон) субъект естественной монополии обязан: в период реализации инвестиционной программы (проекта) ежегодно</w:t>
      </w:r>
      <w:r w:rsidR="00CF5BD5" w:rsidRPr="003C3E04">
        <w:rPr>
          <w:rFonts w:ascii="Times New Roman" w:hAnsi="Times New Roman" w:cs="Times New Roman"/>
          <w:sz w:val="24"/>
          <w:szCs w:val="24"/>
        </w:rPr>
        <w:t xml:space="preserve"> </w:t>
      </w:r>
      <w:r w:rsidR="00AF3EC3" w:rsidRPr="003C3E04">
        <w:rPr>
          <w:rFonts w:ascii="Times New Roman" w:hAnsi="Times New Roman" w:cs="Times New Roman"/>
          <w:sz w:val="24"/>
          <w:szCs w:val="24"/>
        </w:rPr>
        <w:t xml:space="preserve">не позднее 1 мая года, следующего за отчетным периодом, представлять в </w:t>
      </w:r>
      <w:hyperlink r:id="rId6" w:history="1">
        <w:r w:rsidR="00AF3EC3" w:rsidRPr="0063355E">
          <w:rPr>
            <w:rStyle w:val="aa"/>
            <w:rFonts w:ascii="Times New Roman" w:hAnsi="Times New Roman" w:cs="Times New Roman"/>
            <w:sz w:val="24"/>
            <w:szCs w:val="24"/>
          </w:rPr>
          <w:t>уполномоченный орган отчет об исполнении инвестиционной программы</w:t>
        </w:r>
      </w:hyperlink>
      <w:r w:rsidR="00AF3EC3" w:rsidRPr="003C3E04">
        <w:rPr>
          <w:rFonts w:ascii="Times New Roman" w:hAnsi="Times New Roman" w:cs="Times New Roman"/>
          <w:sz w:val="24"/>
          <w:szCs w:val="24"/>
        </w:rPr>
        <w:t xml:space="preserve"> (проекта) и размещать в средствах массовой информации, в том числе на своем интернет-ресурсе либо интернет-ресурсе уполномоченного органа, отчет об исполнении инвестиционной программы (проекта) в срок не позднее 1 июля года, следующего за отчетным периодом, в порядке, определяемом уполномоченным органом. </w:t>
      </w:r>
    </w:p>
    <w:p w14:paraId="5441057C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Порядок представления отчета установлен Правилами утверждения инвестиционных программ (проектов) субъекта естественной монополии, их корректировки, а также проведения анализа информации об их исполнении, утвержденными приказом Министра национальной экономики Республики Казахстан от 30 декабря 2014 года за № 194 (далее – Правила). </w:t>
      </w:r>
    </w:p>
    <w:p w14:paraId="020DA041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Согласно пунктам 27-28 Правил, информация об исполнении инвестиционной программы (проекта) представляется субъектом в ведомство уполномоченного органа и государственному органу ежегодно в срок не позднее 1 мая года, следующего за отчетным периодом, с одновременным представлением: 1) информации о плановых и фактических </w:t>
      </w:r>
      <w:r w:rsidRPr="003C3E04">
        <w:rPr>
          <w:rFonts w:ascii="Times New Roman" w:hAnsi="Times New Roman" w:cs="Times New Roman"/>
          <w:sz w:val="24"/>
          <w:szCs w:val="24"/>
        </w:rPr>
        <w:lastRenderedPageBreak/>
        <w:t xml:space="preserve">объемах предоставляемых регулируемых услуг (товаров, работ); 2) отчета о прибылях и убытках; 3) информации о фактических условиях и размерах финансирования инвестиционной программы (проекта); 4) информации о сопоставлении фактических показателей исполнения инвестиционной программы (проекта) с показателями, утвержденными в инвестиционной программе (проекте); 5) разъяснения причин отклонения достигнутых фактических показателей от показателей в утвержденной инвестиционной программе (проекте). </w:t>
      </w:r>
    </w:p>
    <w:p w14:paraId="523797E2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Информация субъекта естественной монополии об исполнении инвестиционной программы (проекта) представляется субъектом по форме согласно приложению 3 к настоящим Правилам, с приложением обосновывающих и подтверждающих материалов. Согласно Приложению № 3 Правил, являющегося неотъемлемой частью нормативного правового акта, отчет о прибылях и убытках представляется согласно приложению 3 приказа Министра финансов Республики Казахстан от 20 августа 2010 года № 422 «Об утверждении перечня и форм годовой финансовой отчетности для публикации организациями публичного интереса (кроме финансовых организаций)». </w:t>
      </w:r>
    </w:p>
    <w:p w14:paraId="2D11E69A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К возникшим правоотношениям применяется Приказ Министра финансов от 28 июня 2017 года № 404, которым утвержден новый перечень и формы годовой финансовой отчетности. Таким образом, законодательством установлены специальные требования не только к форме информации об исполнении инвестиционной программы, но и к форме отчета, подлежащего предоставлению одновременно с информацией. Возникают вопросы соразмерности санкции по данному составу. В целом отчет о прибылях и убытках представлен, отражены все показатели, искажения данных отчетности нет, нарушена лишь форма отчетности. Штраф составил 800 МРП – 1 924 000 тенге. </w:t>
      </w:r>
    </w:p>
    <w:p w14:paraId="7D7E7F81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В обобщении для использования в работе приводится пример правильной квалификации по части 2 статьи 164 КоАП, вместе с тем имеется ряд замечаний в изложении мотивов при определении меры административного взыскания. В отношении юридического лица не подлежит установлению вина в совершении административного правонарушения. Согласно протоколу от 5 мая 2018 года в отношении ГКП «М», последний включен в раздел Государственный регистр субъектов естественной монополии по Павлодарской области - производство, передача, распределение и снабжение тепловой энергией. </w:t>
      </w:r>
    </w:p>
    <w:p w14:paraId="6C229CB8" w14:textId="77777777" w:rsid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В соответствии с подпунктом 11) статьи 7 Закона «О естественных монополиях» субъект естественной монополии обязан ежегодно представлять отчет об исполнении тарифной сметы не позднее 1 мая года следующего за отчетным периодом. Согласно части 1 статьи 164 КоАП предусмотрена административная ответственность за непредоставление субъектом естественной монополии в уполномоченный орган, осуществляющий руководство в сферах естественной монополии, отчета с нарушением установленных сроков. ГКП «М» привлечено к административной ответственности постановлением по делу об административном правонарушении от 9 августа 2017 года по части 1 статьи 164 КоАП, с наложением административного штрафа в размере 453 800 тенге. </w:t>
      </w:r>
    </w:p>
    <w:p w14:paraId="5033C9DE" w14:textId="77777777" w:rsidR="0063355E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Порядок предоставления отчета об исполнении тарифной сметы субъектом малой мощности регламентирован главой 6 Правил упрощенного государственного регулирования деятельности субъектов естественных монополий малой мощности, утвержденных приказом МНЭ от 29 декабря 2014 года № 176 Согласно пункту 36 Правил субъект естественной монополии малой мощности в срок до 1 мая текущего года представляет в ведомство уполномоченного органа отчет об исполнении тарифной сметы за предыдущий календарный год в разрезе каждого вида регулируемых услуг (товаров, работ) по форме, согласно </w:t>
      </w:r>
      <w:r w:rsidRPr="003C3E0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приложению № 1 к настоящим Правилам, и одновременно размещает его на своем интернет-ресурсе либо направляет обращение ведомству уполномоченного органа о необходимости размещения отчета об исполнении тарифной сметы на интернет- ресурсе ведомства уполномоченного органа. Не предоставлен отчет за 2017 год. Вынесено предписание об устранении нарушений от 5 мая 2018 года. Постановлением от 30 мая 2018 года ГКП «М» привлечено к административной ответственности по части 2 статьи 164 КоАП. В постановлении суд пришел к выводу о доказанности вины ГКП «Май-Сервис», юридического лица. </w:t>
      </w:r>
    </w:p>
    <w:p w14:paraId="00379CCD" w14:textId="5567110F" w:rsidR="00A81D5F" w:rsidRPr="003C3E04" w:rsidRDefault="00AF3EC3" w:rsidP="003C3E0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 xml:space="preserve">При назначении взыскания суд в качестве смягчающего учитывает только одно обстоятельство - признание ГКП «Май-Сервис» своей вины. При сумме штрафа 577 200 тенге суд с учетом признания вины применил положения статьи </w:t>
      </w:r>
      <w:proofErr w:type="gramStart"/>
      <w:r w:rsidRPr="003C3E04">
        <w:rPr>
          <w:rFonts w:ascii="Times New Roman" w:hAnsi="Times New Roman" w:cs="Times New Roman"/>
          <w:sz w:val="24"/>
          <w:szCs w:val="24"/>
        </w:rPr>
        <w:t>829-11</w:t>
      </w:r>
      <w:proofErr w:type="gramEnd"/>
      <w:r w:rsidRPr="003C3E04">
        <w:rPr>
          <w:rFonts w:ascii="Times New Roman" w:hAnsi="Times New Roman" w:cs="Times New Roman"/>
          <w:sz w:val="24"/>
          <w:szCs w:val="24"/>
        </w:rPr>
        <w:t xml:space="preserve"> КоАП и сократил сумму штрафа на 30 %, взыскав административный штраф в размере 404 040 тенге. Но в подобных случаях признание </w:t>
      </w:r>
      <w:hyperlink r:id="rId7" w:history="1">
        <w:r w:rsidRPr="0063355E">
          <w:rPr>
            <w:rStyle w:val="aa"/>
            <w:rFonts w:ascii="Times New Roman" w:hAnsi="Times New Roman" w:cs="Times New Roman"/>
            <w:sz w:val="24"/>
            <w:szCs w:val="24"/>
          </w:rPr>
          <w:t>вины в отношении юридического лица не может иметь обоснования</w:t>
        </w:r>
      </w:hyperlink>
      <w:r w:rsidRPr="003C3E04">
        <w:rPr>
          <w:rFonts w:ascii="Times New Roman" w:hAnsi="Times New Roman" w:cs="Times New Roman"/>
          <w:sz w:val="24"/>
          <w:szCs w:val="24"/>
        </w:rPr>
        <w:t>. В постановлении также ошибочно указано на право принесения протеста прокурором при несогласии с судебным актом, в то время как он вправе принести апелляционное ходатайство.</w:t>
      </w:r>
    </w:p>
    <w:p w14:paraId="7EA7FA65" w14:textId="0D3DEF47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3E04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3E04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C3E04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C3E04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FBE5E" w14:textId="77777777" w:rsidR="00EE594F" w:rsidRDefault="00EE594F" w:rsidP="00702393">
      <w:pPr>
        <w:spacing w:after="0" w:line="240" w:lineRule="auto"/>
      </w:pPr>
      <w:r>
        <w:separator/>
      </w:r>
    </w:p>
  </w:endnote>
  <w:endnote w:type="continuationSeparator" w:id="0">
    <w:p w14:paraId="59432742" w14:textId="77777777" w:rsidR="00EE594F" w:rsidRDefault="00EE594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97A4" w14:textId="77777777" w:rsidR="00EE594F" w:rsidRDefault="00EE594F" w:rsidP="00702393">
      <w:pPr>
        <w:spacing w:after="0" w:line="240" w:lineRule="auto"/>
      </w:pPr>
      <w:r>
        <w:separator/>
      </w:r>
    </w:p>
  </w:footnote>
  <w:footnote w:type="continuationSeparator" w:id="0">
    <w:p w14:paraId="51D54B44" w14:textId="77777777" w:rsidR="00EE594F" w:rsidRDefault="00EE594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1617"/>
    <w:rsid w:val="002570B0"/>
    <w:rsid w:val="002A1A72"/>
    <w:rsid w:val="002B659E"/>
    <w:rsid w:val="00315990"/>
    <w:rsid w:val="00327D34"/>
    <w:rsid w:val="00327E86"/>
    <w:rsid w:val="00396063"/>
    <w:rsid w:val="003C3E04"/>
    <w:rsid w:val="003C77EA"/>
    <w:rsid w:val="003E3623"/>
    <w:rsid w:val="00442855"/>
    <w:rsid w:val="00461793"/>
    <w:rsid w:val="005A3B78"/>
    <w:rsid w:val="0063355E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3EC3"/>
    <w:rsid w:val="00B31BDB"/>
    <w:rsid w:val="00B70075"/>
    <w:rsid w:val="00BD7730"/>
    <w:rsid w:val="00C16D9C"/>
    <w:rsid w:val="00CB275A"/>
    <w:rsid w:val="00CF5BD5"/>
    <w:rsid w:val="00D02DFB"/>
    <w:rsid w:val="00DB660C"/>
    <w:rsid w:val="00EE594F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3355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33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2021-12-15T08:27:00Z</dcterms:modified>
</cp:coreProperties>
</file>