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7D7A0" w14:textId="5EA40C79" w:rsidR="00135218" w:rsidRPr="001B68CF" w:rsidRDefault="001B68CF" w:rsidP="00E314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Адвокатская контора Защита по уголовным делам - </w:t>
      </w:r>
      <w:r w:rsidRPr="001B68C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>Грабеж</w:t>
      </w:r>
      <w:r w:rsidRPr="001B68C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1B68C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>открытое хищение чужого имущества</w:t>
      </w:r>
    </w:p>
    <w:p w14:paraId="53FA75FD" w14:textId="77777777" w:rsidR="00135218" w:rsidRPr="00E31408" w:rsidRDefault="00135218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BE4A95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Приговором районного суда № 2 Медеуского района </w:t>
      </w:r>
      <w:proofErr w:type="spellStart"/>
      <w:r w:rsidRPr="00E31408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31408">
        <w:rPr>
          <w:rFonts w:ascii="Times New Roman" w:hAnsi="Times New Roman" w:cs="Times New Roman"/>
          <w:sz w:val="24"/>
          <w:szCs w:val="24"/>
        </w:rPr>
        <w:t xml:space="preserve"> от 23 декабря 2019 года: К. осужден по пунктам 1), 3) части 2 статьи 191 Уголовного кодекса Республики Казахстан (далее – УК) к 3 годам ограничения свободы, по пункту 1) части 2 статьи 192 УК к 5 годам лишения свободы, по пункту 2) части 2 статьи 194 УК к 3 годам 6 месяцам ограничения свободы, на основании частей 1, 3 статьи 58 УК путем поглощения менее строгого наказания более строгим окончательно к 5 годам лишения свободы. </w:t>
      </w:r>
    </w:p>
    <w:p w14:paraId="6FE16856" w14:textId="77777777" w:rsidR="001B68CF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На основании статьи 63 УК назначенное наказание постановлено считать условным. Т., осужден по пунктам 1), 3) части 2 статьи 191 УК к 3 годам ограничения свободы, по пункту 1) части 2 статьи 192 УК к 5 годам лишения свободы, по пункту 2) части 2 статьи 194 УК к 3 годам 6 месяцам ограничения свободы, на основании частей 1, 3 статьи 58 УК путем поглощения менее строгого наказания более строгим окончательно к 5 годам лишения свободы. На основании статьи 63 УК назначенное наказание постановлено считать условным. Установлен </w:t>
      </w:r>
      <w:proofErr w:type="spellStart"/>
      <w:r w:rsidRPr="00E31408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E31408">
        <w:rPr>
          <w:rFonts w:ascii="Times New Roman" w:hAnsi="Times New Roman" w:cs="Times New Roman"/>
          <w:sz w:val="24"/>
          <w:szCs w:val="24"/>
        </w:rPr>
        <w:t xml:space="preserve"> контроль, возложено исполнение обязанностей. </w:t>
      </w:r>
    </w:p>
    <w:p w14:paraId="7C5DBB7E" w14:textId="07F8D3C9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Мера пресечения в виде содержания под стражей отменена. В удовлетворении гражданских исков И., К. отказано. С К. и Т. – с каждого взысканы в доход государства процессуальные издержки, связанные с производством экспертизы, в сумме 3 405 тенге, в Фонд компенсации потерпевшим – принудительный платеж в сумме 50 500 тенге. Судьба вещественных доказательств разрешена. Постановлением судебной коллегии по уголовным делам Алматинского городского суда от 11 февраля 2020 года приговор суда изменен. </w:t>
      </w:r>
    </w:p>
    <w:p w14:paraId="0EBCD99B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По пункту 2) части 2 статьи 194 УК наказание исключено как излишне вмененное. Действия К. и Т. переквалифицированы с пункта 1) части 2 статьи 192 УК на пункты 1), 3) части 2 статьи 191 УК, окончательно квалифицированы по пунктам 1), 3) части 2 статьи 191 УК, по которой назначено 4 года 6 месяцев ограничения свободы. Установлен </w:t>
      </w:r>
      <w:proofErr w:type="spellStart"/>
      <w:r w:rsidRPr="00E31408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E31408">
        <w:rPr>
          <w:rFonts w:ascii="Times New Roman" w:hAnsi="Times New Roman" w:cs="Times New Roman"/>
          <w:sz w:val="24"/>
          <w:szCs w:val="24"/>
        </w:rPr>
        <w:t xml:space="preserve"> контроль, возложено исполнение обязанностей. К. привлечен к принудительному труду сроком на 100 часов в год. В срок наказания зачтено время содержания К. и Т. под стражей с 9 августа по 23 декабря 2019 года. В протесте </w:t>
      </w:r>
      <w:proofErr w:type="spellStart"/>
      <w:r w:rsidRPr="00E31408">
        <w:rPr>
          <w:rFonts w:ascii="Times New Roman" w:hAnsi="Times New Roman" w:cs="Times New Roman"/>
          <w:sz w:val="24"/>
          <w:szCs w:val="24"/>
        </w:rPr>
        <w:t>и.о.Генерального</w:t>
      </w:r>
      <w:proofErr w:type="spellEnd"/>
      <w:r w:rsidRPr="00E31408">
        <w:rPr>
          <w:rFonts w:ascii="Times New Roman" w:hAnsi="Times New Roman" w:cs="Times New Roman"/>
          <w:sz w:val="24"/>
          <w:szCs w:val="24"/>
        </w:rPr>
        <w:t xml:space="preserve"> Прокурора Республики Казахстан просит пересмотреть состоявшиеся судебные акты, отменить применение статьи 63 УК, считать К. и Т. осужденными по пунктам 1), 3) части 2 статьи 191 УК к 3 годам ограничения свободы, по пункту 1) части 2 статьи 192 УК к 5 годам лишения свободы, по пункту 2) части 2 статьи 194 УК к 3 годам 6 месяцам ограничения свободы, на основании части 1, 3 статьи 58 УК окончательно к 5 годам лишения свободы с отбыванием наказания в учреждении уголовно-исполнительной системы средней безопасности. </w:t>
      </w:r>
    </w:p>
    <w:p w14:paraId="320C88C1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В обоснование приводит следующие доводы. По показаниям потерпевшего И. и свидетеля Р., К. подносил нож к телу И., </w:t>
      </w:r>
      <w:proofErr w:type="gramStart"/>
      <w:r w:rsidRPr="00E31408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E31408">
        <w:rPr>
          <w:rFonts w:ascii="Times New Roman" w:hAnsi="Times New Roman" w:cs="Times New Roman"/>
          <w:sz w:val="24"/>
          <w:szCs w:val="24"/>
        </w:rPr>
        <w:t xml:space="preserve"> создал реальную угрозу жизни и здоровью последнего. Два факта в отношении И. имеют временной разрыв, охвачены разными действиями. Вымогательство 130 000 тенге осуществлено после того, как путем разбоя были похищены 75 000 тенге. Назначенное наказание является чрезмерно мягким. Вина К. и Т. в совершении преступления в отношении потерпевшего Б. не вызывает сомнений и не оспаривается в принесенном протесте. Судом достоверно установлено, что К. и Т. стали требовать у Б., ранее знакомого с Т., деньги. Б. согласился отдать 2 000 тенге. Когда друг Б. принес портмоне последнего, Т. отобрал у Б. портмоне с 17 500 тенге. </w:t>
      </w:r>
    </w:p>
    <w:p w14:paraId="2D48A471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осужденные похитили указанные денежные средства и портмоне. Фактически в действиях осужденных в отношении Б. имеет место вымогательство 2 000 тенге, переросшее затем в открытое хищение 17 500 тенге и портмоне, </w:t>
      </w:r>
      <w:proofErr w:type="gramStart"/>
      <w:r w:rsidRPr="00E31408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E31408">
        <w:rPr>
          <w:rFonts w:ascii="Times New Roman" w:hAnsi="Times New Roman" w:cs="Times New Roman"/>
          <w:sz w:val="24"/>
          <w:szCs w:val="24"/>
        </w:rPr>
        <w:t xml:space="preserve"> грабеж. Однако по обвинительному акту действия в отношении указанного потерпевшего квалифицированы только по пунктам 1), 3) части 2 статьи 191 УК. Ухудшать положение осужденных суд не вправе. В части эпизода в отношении потерпевшего И. по делу установлено следующее. 7 августа 2019 года К. и Т. встретились с ранее знакомым Т. – И. </w:t>
      </w:r>
    </w:p>
    <w:p w14:paraId="66E820E2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Стали требовать у последнего денежные средства в сумме 200 000 тенге. При этом Т. ударил потерпевшего рукой в живот, а К. - рукояткой ножа в область лба. К. также давал потерпевшему потрогать нож. И., испугавшись, отдал им 75 000 тенге. Однако К. и Т. продолжали требовать остальные деньги. И. позвонил своей матери, затем обналичил перечисленные ею денежные средства в сумме 80 000 и 50 000 тенге, которые передал осужденным. Данные обстоятельства подтверждаются показаниями потерпевшего И. Так, И. в суде показал, что К. и Т. (последний ранее знаком) стали требовать у него 200 000 тенге. Когда он отказался, К. ударил его рукояткой ножа, Т. – ударил рукой в живот. Всё происходило с 23:00 часов 7 августа до 04:30 часов 8 августа. К. и Т. говорили, что, если он не отдаст деньги, то они применят в его отношении насилие. </w:t>
      </w:r>
    </w:p>
    <w:p w14:paraId="7AF193A5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Были угрозы нанесения телесных повреждений. Он отдал им сначала 75 000 тенге, потом позвонил матери, обналичил перечисленные деньги и отдал 80 000 и 50 000 тенге. Согласно диспозиции статьи 192 УК разбой – это нападение с целью хищения чужого имущества, соединенное с насилием, опасным для жизни или здоровья лица, подвергшегося нападению, или с угрозой непосредственного применения такого насилия. То есть отличительными признаками разбоя является внезапность и завладение или попытка завладения имуществом одновременно с нападением. Одна только угроза применения насилия с использованием предмета, используемого в качестве оружия, не может служить однозначным свидетельством совершения разбойного нападения. Из показаний потерпевшего следует, что требования по отъему денег продолжались не один час. Осужденные угрожали физической расправой в случае не передачи денег. </w:t>
      </w:r>
    </w:p>
    <w:p w14:paraId="1D9C70F4" w14:textId="411FD56B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То есть угроза ножом и физическое насилие служили способом подкрепления угрозы, а ее реализация должна была быть осуществлена спустя определенное время. При этом осужденные частью имущества – 75 000 тенге завладели одновременно с выдвижением требования, остальными 130 000 тенге - спустя определенное время. После чего скрылись с места преступления. В соответствии с пунктом 14 нормативного постановления Верховного Суда Республики Казахстан от 23 июня 2006 года № 6 «О судебной практике по делам о вымогательстве», решая вопрос об отграничении грабежа, предусмотренного пунктом 1) части 2 статьи 191 УК, и разбоя от вымогательства, соединенного с насилием, следует учитывать, что, если при грабеже или </w:t>
      </w:r>
      <w:hyperlink r:id="rId6" w:history="1">
        <w:r w:rsidRPr="00CC62A4">
          <w:rPr>
            <w:rStyle w:val="aa"/>
            <w:rFonts w:ascii="Times New Roman" w:hAnsi="Times New Roman" w:cs="Times New Roman"/>
            <w:sz w:val="24"/>
            <w:szCs w:val="24"/>
          </w:rPr>
          <w:t>разбое насилие является средством завладения имуществом и его</w:t>
        </w:r>
      </w:hyperlink>
      <w:r w:rsidRPr="00E31408">
        <w:rPr>
          <w:rFonts w:ascii="Times New Roman" w:hAnsi="Times New Roman" w:cs="Times New Roman"/>
          <w:sz w:val="24"/>
          <w:szCs w:val="24"/>
        </w:rPr>
        <w:t xml:space="preserve"> удержания, то при вымогательстве физическое насилие является способом подкрепления угрозы, но реализуется не немедленно, а спустя определенное время, в более или менее отдаленном будущем. Вымогательство будет и в том случае, если имущество виновный получил одновременно с выдвижением требования. </w:t>
      </w:r>
    </w:p>
    <w:p w14:paraId="1B030F87" w14:textId="77777777" w:rsidR="00E31408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считает, что действия К. и Т. в отношении потерпевшего И. по завладению суммами в 75 000 и 130 000 тенге подлежат переквалификации с пункта 1) части 2 статьи 192, пункта 2) части 2 статьи 194 УК на пункты 1), 2) части 2 статьи 194 УК, т.е. как вымогательство, совершенное с применением насилия, группой лиц по предварительному сговору. При этом коллегия не выходит за пределы </w:t>
      </w:r>
      <w:r w:rsidRPr="00E31408">
        <w:rPr>
          <w:rFonts w:ascii="Times New Roman" w:hAnsi="Times New Roman" w:cs="Times New Roman"/>
          <w:sz w:val="24"/>
          <w:szCs w:val="24"/>
        </w:rPr>
        <w:lastRenderedPageBreak/>
        <w:t xml:space="preserve">обвинения и не ухудшает положение осужденных, поскольку с более тяжкого преступления - разбоя и вымогательства переквалифицирует на менее тяжкий состав преступления. При назначении наказания в качестве смягчающих ответственность и наказание обстоятельств суд учитывает молодой возраст – 18 лет, частичное признание вины обоими осужденными, чистосердечное раскаяние, положительные характеристики с места жительства, для Т. – также совершение преступления впервые, добровольное возмещение ущерба, причиненного преступлением. Отягчающие обстоятельства не установлены. </w:t>
      </w:r>
    </w:p>
    <w:p w14:paraId="795E1338" w14:textId="77777777" w:rsidR="00366E71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Суд принимает во внимание позицию потерпевшего И. и законного представителя потерпевшего Б. – К., просивших не лишать осужденных свободы. На основании изложенного суд считает, что исправление К. и Т. возможно без изоляции от общества с назначением наказания в виде 4 лет 6 месяцев ограничения свободы каждому. К., как не имеющий постоянного места работы и не занятый на учебе, подлежит привлечению к принудительному труду. На основании изложенного судебная коллегия по уголовным делам Верховного Суда изменила судебные акты местных судов в отношении К. и Т. и приговор в части осуждения К. и Т. по пунктам 1), 3) части 2 статьи 191 УК к 3 годам ограничения свободы оставлен без изменения. Действия К. и Т. по пункту 1) части 2 статьи 192, по пункту 2) части 2 статьи 194 УК переквалифицированы на пункты 1), 2) части 2 статьи 194 УК. Назначено К. и Т. по пунктам 1), 2) части 2 статьи 194 УК наказание в виде 4 лет 6 месяцев ограничения свободы каждому. На основании части 3 статьи 58 УК по совокупности преступлений путем поглощения менее строгого наказания более строгим назначено К. и Т. окончательное наказание в виде 4 лет 6 месяцев ограничения свободы каждому. </w:t>
      </w:r>
    </w:p>
    <w:p w14:paraId="098C383B" w14:textId="7857A983" w:rsidR="00366E71" w:rsidRDefault="00135218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 xml:space="preserve">Установлен в отношении К. и Т. </w:t>
      </w:r>
      <w:proofErr w:type="spellStart"/>
      <w:r w:rsidRPr="00E31408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E31408">
        <w:rPr>
          <w:rFonts w:ascii="Times New Roman" w:hAnsi="Times New Roman" w:cs="Times New Roman"/>
          <w:sz w:val="24"/>
          <w:szCs w:val="24"/>
        </w:rPr>
        <w:t xml:space="preserve"> контроль на весь срок наказания. Возложены на осужденных обязанности: не менять постоянного места жительства, работы, учебы без уведомления уполномоченного государственного органа, осуществляющего контроль за поведением осужденного, не выезжать за пределы населенного пункта без уведомления службы пробации. К. и Т. обязаны явиться в течение 10 суток после вступления постановления в законную силу в службу пробации по месту жительства для постановки на учет.</w:t>
      </w:r>
      <w:r w:rsidR="00BA6774" w:rsidRPr="00E31408">
        <w:rPr>
          <w:rFonts w:ascii="Times New Roman" w:hAnsi="Times New Roman" w:cs="Times New Roman"/>
          <w:sz w:val="24"/>
          <w:szCs w:val="24"/>
        </w:rPr>
        <w:t xml:space="preserve"> К. </w:t>
      </w:r>
      <w:hyperlink r:id="rId7" w:history="1">
        <w:r w:rsidR="00BA6774" w:rsidRPr="00366E71">
          <w:rPr>
            <w:rStyle w:val="aa"/>
            <w:rFonts w:ascii="Times New Roman" w:hAnsi="Times New Roman" w:cs="Times New Roman"/>
            <w:sz w:val="24"/>
            <w:szCs w:val="24"/>
          </w:rPr>
          <w:t>привлечен к принудительному труду в местах, определяемых местными</w:t>
        </w:r>
      </w:hyperlink>
      <w:r w:rsidR="00BA6774" w:rsidRPr="00E31408">
        <w:rPr>
          <w:rFonts w:ascii="Times New Roman" w:hAnsi="Times New Roman" w:cs="Times New Roman"/>
          <w:sz w:val="24"/>
          <w:szCs w:val="24"/>
        </w:rPr>
        <w:t xml:space="preserve"> исполнительными органами, сроком на 100 часов в год. </w:t>
      </w:r>
    </w:p>
    <w:p w14:paraId="00379CCD" w14:textId="29144448" w:rsidR="00A81D5F" w:rsidRPr="00E31408" w:rsidRDefault="00BA6774" w:rsidP="00E314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>Зачтено в срок наказания время содержания К. и Т. под стражей с 9 августа по 23 декабря 2019 года из расчета один день содержания под стражей за два дня ограничения свободы. В остальной части судебные акты оставлены без изменения. Протест Генерального Прокурора Республики Казахстан удовлетворен частично.</w:t>
      </w:r>
      <w:r w:rsidR="00CF5BD5" w:rsidRPr="00E31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3140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31408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3140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3140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2512" w14:textId="77777777" w:rsidR="00AB384A" w:rsidRDefault="00AB384A" w:rsidP="00702393">
      <w:pPr>
        <w:spacing w:after="0" w:line="240" w:lineRule="auto"/>
      </w:pPr>
      <w:r>
        <w:separator/>
      </w:r>
    </w:p>
  </w:endnote>
  <w:endnote w:type="continuationSeparator" w:id="0">
    <w:p w14:paraId="23D93ACF" w14:textId="77777777" w:rsidR="00AB384A" w:rsidRDefault="00AB384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D1956" w14:textId="77777777" w:rsidR="00AB384A" w:rsidRDefault="00AB384A" w:rsidP="00702393">
      <w:pPr>
        <w:spacing w:after="0" w:line="240" w:lineRule="auto"/>
      </w:pPr>
      <w:r>
        <w:separator/>
      </w:r>
    </w:p>
  </w:footnote>
  <w:footnote w:type="continuationSeparator" w:id="0">
    <w:p w14:paraId="7ABA12AF" w14:textId="77777777" w:rsidR="00AB384A" w:rsidRDefault="00AB384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35218"/>
    <w:rsid w:val="00152128"/>
    <w:rsid w:val="001539CF"/>
    <w:rsid w:val="00193E1B"/>
    <w:rsid w:val="001B68CF"/>
    <w:rsid w:val="001C5801"/>
    <w:rsid w:val="001E7ED8"/>
    <w:rsid w:val="002570B0"/>
    <w:rsid w:val="002A1A72"/>
    <w:rsid w:val="002B659E"/>
    <w:rsid w:val="00315990"/>
    <w:rsid w:val="00327D34"/>
    <w:rsid w:val="00327E86"/>
    <w:rsid w:val="00366E71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B384A"/>
    <w:rsid w:val="00B31BDB"/>
    <w:rsid w:val="00BA6774"/>
    <w:rsid w:val="00BD7730"/>
    <w:rsid w:val="00BE75DE"/>
    <w:rsid w:val="00C16D9C"/>
    <w:rsid w:val="00CB275A"/>
    <w:rsid w:val="00CC62A4"/>
    <w:rsid w:val="00CF5BD5"/>
    <w:rsid w:val="00D02DFB"/>
    <w:rsid w:val="00DB660C"/>
    <w:rsid w:val="00E31408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66E7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6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2021-12-15T06:55:00Z</dcterms:modified>
</cp:coreProperties>
</file>