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DCA06" w14:textId="4CBE9CBA" w:rsidR="00C215B2" w:rsidRPr="00C215B2" w:rsidRDefault="00C215B2" w:rsidP="00C215B2">
      <w:pPr>
        <w:ind w:firstLine="720"/>
        <w:jc w:val="center"/>
        <w:rPr>
          <w:rFonts w:ascii="Times New Roman" w:hAnsi="Times New Roman" w:cs="Times New Roman"/>
          <w:b/>
          <w:bCs/>
          <w:sz w:val="24"/>
          <w:szCs w:val="24"/>
        </w:rPr>
      </w:pPr>
      <w:r w:rsidRPr="00C215B2">
        <w:rPr>
          <w:rFonts w:ascii="Times New Roman" w:hAnsi="Times New Roman" w:cs="Times New Roman"/>
          <w:b/>
          <w:bCs/>
          <w:sz w:val="24"/>
          <w:szCs w:val="24"/>
        </w:rPr>
        <w:t>П</w:t>
      </w:r>
      <w:r w:rsidRPr="00C215B2">
        <w:rPr>
          <w:rFonts w:ascii="Times New Roman" w:hAnsi="Times New Roman" w:cs="Times New Roman"/>
          <w:b/>
          <w:bCs/>
          <w:sz w:val="24"/>
          <w:szCs w:val="24"/>
        </w:rPr>
        <w:t>рименя</w:t>
      </w:r>
      <w:r w:rsidRPr="00C215B2">
        <w:rPr>
          <w:rFonts w:ascii="Times New Roman" w:hAnsi="Times New Roman" w:cs="Times New Roman"/>
          <w:b/>
          <w:bCs/>
          <w:sz w:val="24"/>
          <w:szCs w:val="24"/>
        </w:rPr>
        <w:t>я</w:t>
      </w:r>
      <w:r w:rsidRPr="00C215B2">
        <w:rPr>
          <w:rFonts w:ascii="Times New Roman" w:hAnsi="Times New Roman" w:cs="Times New Roman"/>
          <w:b/>
          <w:bCs/>
          <w:sz w:val="24"/>
          <w:szCs w:val="24"/>
        </w:rPr>
        <w:t xml:space="preserve"> насилие, униж</w:t>
      </w:r>
      <w:r w:rsidRPr="00C215B2">
        <w:rPr>
          <w:rFonts w:ascii="Times New Roman" w:hAnsi="Times New Roman" w:cs="Times New Roman"/>
          <w:b/>
          <w:bCs/>
          <w:sz w:val="24"/>
          <w:szCs w:val="24"/>
        </w:rPr>
        <w:t>ения</w:t>
      </w:r>
      <w:r w:rsidRPr="00C215B2">
        <w:rPr>
          <w:rFonts w:ascii="Times New Roman" w:hAnsi="Times New Roman" w:cs="Times New Roman"/>
          <w:b/>
          <w:bCs/>
          <w:sz w:val="24"/>
          <w:szCs w:val="24"/>
        </w:rPr>
        <w:t xml:space="preserve"> человеческое достоинство </w:t>
      </w:r>
      <w:r w:rsidRPr="00C215B2">
        <w:rPr>
          <w:rFonts w:ascii="Times New Roman" w:hAnsi="Times New Roman" w:cs="Times New Roman"/>
          <w:b/>
          <w:bCs/>
          <w:sz w:val="24"/>
          <w:szCs w:val="24"/>
        </w:rPr>
        <w:t xml:space="preserve">довел </w:t>
      </w:r>
      <w:r w:rsidRPr="00C215B2">
        <w:rPr>
          <w:rFonts w:ascii="Times New Roman" w:hAnsi="Times New Roman" w:cs="Times New Roman"/>
          <w:b/>
          <w:bCs/>
          <w:sz w:val="24"/>
          <w:szCs w:val="24"/>
        </w:rPr>
        <w:t>до попытки самоубийств</w:t>
      </w:r>
      <w:r w:rsidRPr="00C215B2">
        <w:rPr>
          <w:rFonts w:ascii="Times New Roman" w:hAnsi="Times New Roman" w:cs="Times New Roman"/>
          <w:b/>
          <w:bCs/>
          <w:sz w:val="24"/>
          <w:szCs w:val="24"/>
        </w:rPr>
        <w:t>у</w:t>
      </w:r>
    </w:p>
    <w:p w14:paraId="58A46E45" w14:textId="101FE841"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Приговором военного суда Акмолинского гарнизона от 28 июня 2019 года: Ж. осужден по части 2 статьи 451 Уголовного кодекса Республики Казахстан (далее – УК) к 5 годам лишения свободы, части 2 статьи 105 УК к 3 годам ограничения свободы, на основании части 3 статьи 58 УК путем поглощения менее строгого наказания более строгим окончательно к 5 годам лишения свободы с отбыванием наказания в учреждении </w:t>
      </w:r>
      <w:proofErr w:type="spellStart"/>
      <w:r w:rsidRPr="006C2F12">
        <w:rPr>
          <w:rFonts w:ascii="Times New Roman" w:hAnsi="Times New Roman" w:cs="Times New Roman"/>
          <w:sz w:val="24"/>
          <w:szCs w:val="24"/>
        </w:rPr>
        <w:t>уголовноисполнительной</w:t>
      </w:r>
      <w:proofErr w:type="spellEnd"/>
      <w:r w:rsidRPr="006C2F12">
        <w:rPr>
          <w:rFonts w:ascii="Times New Roman" w:hAnsi="Times New Roman" w:cs="Times New Roman"/>
          <w:sz w:val="24"/>
          <w:szCs w:val="24"/>
        </w:rPr>
        <w:t xml:space="preserve"> системы средней безопасности. Срок наказания исчислен с момент взятия под стражу. Ж. лишен воинского звания «капитан». </w:t>
      </w:r>
    </w:p>
    <w:p w14:paraId="7625EBC4"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Взысканы с Ж. в пользу Т. в счет компенсации морального вреда в размере 300 000 тенге, в доход государства госпошлина – 1 263 тенге, процессуальные издержки – 111 344 тенге, в Фонд компенсации потерпевшим принудительный платеж – 48 100 тенге. Ж. признан виновным в следующем. Будучи командиром роты, превышая свою власть, он систематически применял насилие, унижал человеческое достоинство рядовых С. и Т., что повлекло причинение последнему тяжкого вреда здоровью, довел Т., находящегося от него в зависимости, до попытки самоубийства. </w:t>
      </w:r>
    </w:p>
    <w:p w14:paraId="5A4CD40C" w14:textId="4FA38D6C"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Постановлением судебной </w:t>
      </w:r>
      <w:hyperlink r:id="rId6" w:history="1">
        <w:r w:rsidRPr="00CC7B8C">
          <w:rPr>
            <w:rStyle w:val="aa"/>
            <w:rFonts w:ascii="Times New Roman" w:hAnsi="Times New Roman" w:cs="Times New Roman"/>
            <w:sz w:val="24"/>
            <w:szCs w:val="24"/>
          </w:rPr>
          <w:t>коллегии по уголовным делам Военного суда Республики</w:t>
        </w:r>
      </w:hyperlink>
      <w:r w:rsidRPr="006C2F12">
        <w:rPr>
          <w:rFonts w:ascii="Times New Roman" w:hAnsi="Times New Roman" w:cs="Times New Roman"/>
          <w:sz w:val="24"/>
          <w:szCs w:val="24"/>
        </w:rPr>
        <w:t xml:space="preserve"> Казахстан от 28 августа 2019 года приговор оставлен без изменения. В протесте Генеральный Прокурор Республики Казахстан, не оспаривая доказанность вины, просит изменить судебные акты в отношении Ж., отменить осуждение по части 2 статьи 105 УК как излишне вмененное и применение части 3 статьи 58 УК. Вина Ж. в совершении преступления, предусмотренного частью 2 статьи 451 УК, подтверждена совокупностью достоверных доказательств. Допрошенные потерпевшие Т. и С. подтвердили в суде факты систематического применения насилия и унижений со стороны Ж. Их показания содержат подробное изложение всех обстоятельств совершения преступных действий, они стабильны как в ходе досудебного, так и судебного производства. </w:t>
      </w:r>
    </w:p>
    <w:p w14:paraId="6990394A"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Показания потерпевших согласуются с показаниями свидетелей: Д., Ө., С., К., Ж., Б. В изъятой в ходе расследования записке Т. перед попыткой суицида написал фамилию Ж. Проведенным судебно-медицинским исследованием у Т. установлено наличие посттравматической перфорации барабанной перепонки, имеющей травматический характер, а также квалифицированных как тяжкий вред здоровью телесных повреждений: двойной </w:t>
      </w:r>
      <w:proofErr w:type="spellStart"/>
      <w:r w:rsidRPr="006C2F12">
        <w:rPr>
          <w:rFonts w:ascii="Times New Roman" w:hAnsi="Times New Roman" w:cs="Times New Roman"/>
          <w:sz w:val="24"/>
          <w:szCs w:val="24"/>
        </w:rPr>
        <w:t>странгуляционной</w:t>
      </w:r>
      <w:proofErr w:type="spellEnd"/>
      <w:r w:rsidRPr="006C2F12">
        <w:rPr>
          <w:rFonts w:ascii="Times New Roman" w:hAnsi="Times New Roman" w:cs="Times New Roman"/>
          <w:sz w:val="24"/>
          <w:szCs w:val="24"/>
        </w:rPr>
        <w:t xml:space="preserve"> борозды на шее, линейного перелома подъязычной кости справа, сопровождающейся острой гипоксической энцефалопатией, общемозговым синдромом и угрожающими жизни явлениями. </w:t>
      </w:r>
    </w:p>
    <w:p w14:paraId="659B470E"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Последние образовались в результате сдавливания органов шеи петлей при повешении. Экспертами-</w:t>
      </w:r>
      <w:proofErr w:type="spellStart"/>
      <w:r w:rsidRPr="006C2F12">
        <w:rPr>
          <w:rFonts w:ascii="Times New Roman" w:hAnsi="Times New Roman" w:cs="Times New Roman"/>
          <w:sz w:val="24"/>
          <w:szCs w:val="24"/>
        </w:rPr>
        <w:t>психиатриами</w:t>
      </w:r>
      <w:proofErr w:type="spellEnd"/>
      <w:r w:rsidRPr="006C2F12">
        <w:rPr>
          <w:rFonts w:ascii="Times New Roman" w:hAnsi="Times New Roman" w:cs="Times New Roman"/>
          <w:sz w:val="24"/>
          <w:szCs w:val="24"/>
        </w:rPr>
        <w:t xml:space="preserve"> дано заключение о том, что в момент попытки суицида Т. не страдал психическими заболеваниями, которые могли повлиять на принятие этого решения, не склонен к фантазированию, лжи. Таким образом, причинно-следственная связь между действиями Ж. и попыткой самоубийства Т. налицо. Действия Ж. квалифицированы верно - как превышение власти, повлекшее тяжкие последствия: причинение тяжкого вреда здоровью, попытку самоубийства. В то же время квалификация действий Ж. по части 2 статьи 105 УК является излишней. </w:t>
      </w:r>
    </w:p>
    <w:p w14:paraId="0EDC70DD"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Согласно пункту 11 нормативного постановления Верховного Суда Республики Казахстан от 28 октября 2005 года № 6 «О судебной практике по делам о воинских уголовных правонарушениях» понятие тяжких последствий дано в пункте 4) статьи 3 УК. Такие </w:t>
      </w:r>
      <w:r w:rsidRPr="006C2F12">
        <w:rPr>
          <w:rFonts w:ascii="Times New Roman" w:hAnsi="Times New Roman" w:cs="Times New Roman"/>
          <w:sz w:val="24"/>
          <w:szCs w:val="24"/>
        </w:rPr>
        <w:lastRenderedPageBreak/>
        <w:t xml:space="preserve">последствия охватываются диспозицией данных статей УК и дополнительной квалификации по другим составам уголовных правонарушений не требуется. По этому же правилу должно квалифицироваться превышение власти (часть вторая статьи 451 УК) начальником или должностным лицом, повлекшее тяжкие последствия для жизни и здоровья потерпевшего. Таким образом, при наступлении тяжких последствий действия виновного лица должны квалифицироваться только по части 2 статьи 451 УК. </w:t>
      </w:r>
    </w:p>
    <w:p w14:paraId="40C15136"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Суды первой и апелляционной инстанций, обосновывая квалификацию действий Ж. по двум статьям УК, исходили из того, что попытка самоубийства не указана в качестве тяжких последствий в статье 3 УК. Однако судами не принято во внимание то обстоятельство, что тяжкий вред здоровью потерпевшего наступил в результате попытки самоубийства, </w:t>
      </w:r>
      <w:proofErr w:type="gramStart"/>
      <w:r w:rsidRPr="006C2F12">
        <w:rPr>
          <w:rFonts w:ascii="Times New Roman" w:hAnsi="Times New Roman" w:cs="Times New Roman"/>
          <w:sz w:val="24"/>
          <w:szCs w:val="24"/>
        </w:rPr>
        <w:t>т.е.</w:t>
      </w:r>
      <w:proofErr w:type="gramEnd"/>
      <w:r w:rsidRPr="006C2F12">
        <w:rPr>
          <w:rFonts w:ascii="Times New Roman" w:hAnsi="Times New Roman" w:cs="Times New Roman"/>
          <w:sz w:val="24"/>
          <w:szCs w:val="24"/>
        </w:rPr>
        <w:t xml:space="preserve">, по сути, речь идет об одном и том же последствии для потерпевшего. Кроме того, такое толкование закона само по себе является противоречивым. Исходя из вышеизложенных доводов предыдущих судебных инстанций, в случае самоубийства потерпевшего действия квалифицируются по одной статье УК, а в случае его попытки - по двум статьям, что, несомненно, является неверным. </w:t>
      </w:r>
    </w:p>
    <w:p w14:paraId="0D579D34" w14:textId="77777777" w:rsid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На основании изложенного часть 2 статьи 105 УК подлежит исключению как излишне вмененная. Наряду с этим, необходимо исключить применение правил части 3 статьи 58 УК. При назначении Ж. наказания по части 2 статьи 451 УК учтены требования части 3 статьи 52 УК, приняты во внимание смягчающие обстоятельства: отсутствие судимости, положительная характеристика, наличие на иждивении несовершеннолетнего ребенка, отягчающее обстоятельство - нарушение принятой присяги. В связи с этим назначено минимальное наказание, предусмотренное санкцией части 2 статьи 451 УК. Оснований для дальнейшего его снижения не имеется. </w:t>
      </w:r>
    </w:p>
    <w:p w14:paraId="7EA7FA65" w14:textId="03CF8DA6" w:rsidR="00F173BA" w:rsidRPr="006C2F12" w:rsidRDefault="00D80CD9" w:rsidP="006C2F12">
      <w:pPr>
        <w:ind w:firstLine="720"/>
        <w:jc w:val="both"/>
        <w:rPr>
          <w:rFonts w:ascii="Times New Roman" w:hAnsi="Times New Roman" w:cs="Times New Roman"/>
          <w:sz w:val="24"/>
          <w:szCs w:val="24"/>
        </w:rPr>
      </w:pPr>
      <w:r w:rsidRPr="006C2F12">
        <w:rPr>
          <w:rFonts w:ascii="Times New Roman" w:hAnsi="Times New Roman" w:cs="Times New Roman"/>
          <w:sz w:val="24"/>
          <w:szCs w:val="24"/>
        </w:rPr>
        <w:t xml:space="preserve">Правила части 2 статьи 55 УК применению не подлежат. На основании изложенного судебная коллегия по уголовным </w:t>
      </w:r>
      <w:hyperlink r:id="rId7" w:history="1">
        <w:r w:rsidRPr="006C2F12">
          <w:rPr>
            <w:rStyle w:val="aa"/>
            <w:rFonts w:ascii="Times New Roman" w:hAnsi="Times New Roman" w:cs="Times New Roman"/>
            <w:sz w:val="24"/>
            <w:szCs w:val="24"/>
          </w:rPr>
          <w:t>делам Верховного Суда изменила судебные акты местных</w:t>
        </w:r>
      </w:hyperlink>
      <w:r w:rsidRPr="006C2F12">
        <w:rPr>
          <w:rFonts w:ascii="Times New Roman" w:hAnsi="Times New Roman" w:cs="Times New Roman"/>
          <w:sz w:val="24"/>
          <w:szCs w:val="24"/>
        </w:rPr>
        <w:t xml:space="preserve"> судов в отношении Ж. и исключила осуждение по части 2 статьи 105 УК и применение правил части 3 статьи 58 УК. В остальной части судебные акты оставлены без изменения. Протест Генерального Прокурора Республики Казахстан удовлетворен.</w:t>
      </w:r>
    </w:p>
    <w:p w14:paraId="1C113091" w14:textId="5A80DFE0" w:rsidR="00F173BA" w:rsidRPr="006C2F12" w:rsidRDefault="00F173BA" w:rsidP="006C2F12">
      <w:pPr>
        <w:jc w:val="both"/>
        <w:rPr>
          <w:rFonts w:ascii="Times New Roman" w:hAnsi="Times New Roman" w:cs="Times New Roman"/>
          <w:sz w:val="24"/>
          <w:szCs w:val="24"/>
        </w:rPr>
      </w:pPr>
    </w:p>
    <w:p w14:paraId="1D196CDE" w14:textId="737247FA" w:rsidR="00F173BA" w:rsidRPr="006C2F12" w:rsidRDefault="00F173BA" w:rsidP="006C2F12">
      <w:pPr>
        <w:jc w:val="both"/>
        <w:rPr>
          <w:rFonts w:ascii="Times New Roman" w:hAnsi="Times New Roman" w:cs="Times New Roman"/>
          <w:sz w:val="24"/>
          <w:szCs w:val="24"/>
        </w:rPr>
      </w:pPr>
    </w:p>
    <w:p w14:paraId="02403F08" w14:textId="75BEB719" w:rsidR="00F173BA" w:rsidRPr="006C2F12" w:rsidRDefault="00F173BA" w:rsidP="006C2F12">
      <w:pPr>
        <w:jc w:val="both"/>
        <w:rPr>
          <w:rFonts w:ascii="Times New Roman" w:hAnsi="Times New Roman" w:cs="Times New Roman"/>
          <w:sz w:val="24"/>
          <w:szCs w:val="24"/>
        </w:rPr>
      </w:pPr>
    </w:p>
    <w:p w14:paraId="308325D5" w14:textId="324F2E94" w:rsidR="00F173BA" w:rsidRPr="006C2F12" w:rsidRDefault="00F173BA" w:rsidP="006C2F12">
      <w:pPr>
        <w:jc w:val="both"/>
        <w:rPr>
          <w:rFonts w:ascii="Times New Roman" w:hAnsi="Times New Roman" w:cs="Times New Roman"/>
          <w:sz w:val="24"/>
          <w:szCs w:val="24"/>
        </w:rPr>
      </w:pPr>
    </w:p>
    <w:p w14:paraId="22BAA135" w14:textId="6CC745FE" w:rsidR="00F173BA" w:rsidRPr="006C2F12" w:rsidRDefault="00F173BA" w:rsidP="006C2F12">
      <w:pPr>
        <w:jc w:val="both"/>
        <w:rPr>
          <w:rFonts w:ascii="Times New Roman" w:hAnsi="Times New Roman" w:cs="Times New Roman"/>
          <w:sz w:val="24"/>
          <w:szCs w:val="24"/>
        </w:rPr>
      </w:pPr>
    </w:p>
    <w:p w14:paraId="33D51603" w14:textId="10BA4AEF" w:rsidR="00F173BA" w:rsidRPr="006C2F12" w:rsidRDefault="00F173BA" w:rsidP="006C2F12">
      <w:pPr>
        <w:jc w:val="both"/>
        <w:rPr>
          <w:rFonts w:ascii="Times New Roman" w:hAnsi="Times New Roman" w:cs="Times New Roman"/>
          <w:sz w:val="24"/>
          <w:szCs w:val="24"/>
        </w:rPr>
      </w:pPr>
    </w:p>
    <w:p w14:paraId="55D95E22" w14:textId="0EFD17BF" w:rsidR="00F173BA" w:rsidRPr="006C2F12" w:rsidRDefault="00F173BA" w:rsidP="006C2F12">
      <w:pPr>
        <w:jc w:val="both"/>
        <w:rPr>
          <w:rFonts w:ascii="Times New Roman" w:hAnsi="Times New Roman" w:cs="Times New Roman"/>
          <w:sz w:val="24"/>
          <w:szCs w:val="24"/>
        </w:rPr>
      </w:pPr>
    </w:p>
    <w:p w14:paraId="1E84A240" w14:textId="61513D00" w:rsidR="00F173BA" w:rsidRPr="006C2F12" w:rsidRDefault="00F173BA" w:rsidP="006C2F12">
      <w:pPr>
        <w:jc w:val="both"/>
        <w:rPr>
          <w:rFonts w:ascii="Times New Roman" w:hAnsi="Times New Roman" w:cs="Times New Roman"/>
          <w:sz w:val="24"/>
          <w:szCs w:val="24"/>
        </w:rPr>
      </w:pPr>
    </w:p>
    <w:p w14:paraId="049E1B58" w14:textId="408BB97D" w:rsidR="00F173BA" w:rsidRPr="006C2F12" w:rsidRDefault="00F173BA" w:rsidP="006C2F12">
      <w:pPr>
        <w:jc w:val="both"/>
        <w:rPr>
          <w:rFonts w:ascii="Times New Roman" w:hAnsi="Times New Roman" w:cs="Times New Roman"/>
          <w:sz w:val="24"/>
          <w:szCs w:val="24"/>
        </w:rPr>
      </w:pPr>
    </w:p>
    <w:p w14:paraId="3F19C72F" w14:textId="49CAEBA5" w:rsidR="00F173BA" w:rsidRPr="006C2F12" w:rsidRDefault="00F173BA" w:rsidP="006C2F12">
      <w:pPr>
        <w:tabs>
          <w:tab w:val="left" w:pos="6948"/>
        </w:tabs>
        <w:jc w:val="both"/>
        <w:rPr>
          <w:rFonts w:ascii="Times New Roman" w:hAnsi="Times New Roman" w:cs="Times New Roman"/>
          <w:sz w:val="24"/>
          <w:szCs w:val="24"/>
        </w:rPr>
      </w:pPr>
      <w:r w:rsidRPr="006C2F12">
        <w:rPr>
          <w:rFonts w:ascii="Times New Roman" w:hAnsi="Times New Roman" w:cs="Times New Roman"/>
          <w:sz w:val="24"/>
          <w:szCs w:val="24"/>
        </w:rPr>
        <w:tab/>
      </w:r>
    </w:p>
    <w:sectPr w:rsidR="00F173BA" w:rsidRPr="006C2F1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74F18" w14:textId="77777777" w:rsidR="00CB57DF" w:rsidRDefault="00CB57DF" w:rsidP="00702393">
      <w:pPr>
        <w:spacing w:after="0" w:line="240" w:lineRule="auto"/>
      </w:pPr>
      <w:r>
        <w:separator/>
      </w:r>
    </w:p>
  </w:endnote>
  <w:endnote w:type="continuationSeparator" w:id="0">
    <w:p w14:paraId="7141E239" w14:textId="77777777" w:rsidR="00CB57DF" w:rsidRDefault="00CB57D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249B" w14:textId="77777777" w:rsidR="00CB57DF" w:rsidRDefault="00CB57DF" w:rsidP="00702393">
      <w:pPr>
        <w:spacing w:after="0" w:line="240" w:lineRule="auto"/>
      </w:pPr>
      <w:r>
        <w:separator/>
      </w:r>
    </w:p>
  </w:footnote>
  <w:footnote w:type="continuationSeparator" w:id="0">
    <w:p w14:paraId="3CDE649F" w14:textId="77777777" w:rsidR="00CB57DF" w:rsidRDefault="00CB57D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A3B78"/>
    <w:rsid w:val="00645482"/>
    <w:rsid w:val="006B0A4D"/>
    <w:rsid w:val="006C2F12"/>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215B2"/>
    <w:rsid w:val="00CB275A"/>
    <w:rsid w:val="00CB57DF"/>
    <w:rsid w:val="00CC7B8C"/>
    <w:rsid w:val="00CF5BD5"/>
    <w:rsid w:val="00D02DFB"/>
    <w:rsid w:val="00D80CD9"/>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C2F12"/>
    <w:rPr>
      <w:color w:val="0563C1" w:themeColor="hyperlink"/>
      <w:u w:val="single"/>
    </w:rPr>
  </w:style>
  <w:style w:type="character" w:styleId="ab">
    <w:name w:val="Unresolved Mention"/>
    <w:basedOn w:val="a0"/>
    <w:uiPriority w:val="99"/>
    <w:semiHidden/>
    <w:unhideWhenUsed/>
    <w:rsid w:val="006C2F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2021-12-10T19:38:00Z</dcterms:modified>
</cp:coreProperties>
</file>