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79CCD" w14:textId="7727CC61" w:rsidR="00A81D5F" w:rsidRPr="00EF3871" w:rsidRDefault="00435A10" w:rsidP="00EF3871">
      <w:pPr>
        <w:jc w:val="center"/>
        <w:rPr>
          <w:rFonts w:ascii="Times New Roman" w:hAnsi="Times New Roman" w:cs="Times New Roman"/>
          <w:b/>
          <w:bCs/>
          <w:sz w:val="24"/>
          <w:szCs w:val="24"/>
        </w:rPr>
      </w:pPr>
      <w:r w:rsidRPr="00EF3871">
        <w:rPr>
          <w:rFonts w:ascii="Times New Roman" w:hAnsi="Times New Roman" w:cs="Times New Roman"/>
          <w:b/>
          <w:bCs/>
          <w:sz w:val="24"/>
          <w:szCs w:val="24"/>
        </w:rPr>
        <w:t xml:space="preserve">Давность привлечения к административной ответственности Прекращение уголовного дела </w:t>
      </w:r>
      <w:r w:rsidR="00F01000">
        <w:rPr>
          <w:rFonts w:ascii="Times New Roman" w:hAnsi="Times New Roman" w:cs="Times New Roman"/>
          <w:b/>
          <w:bCs/>
          <w:sz w:val="24"/>
          <w:szCs w:val="24"/>
        </w:rPr>
        <w:t xml:space="preserve"> </w:t>
      </w:r>
    </w:p>
    <w:p w14:paraId="7EA7FA65" w14:textId="0D3DEF47" w:rsidR="00F173BA" w:rsidRPr="00EF3871" w:rsidRDefault="00F173BA" w:rsidP="00EF3871">
      <w:pPr>
        <w:jc w:val="both"/>
        <w:rPr>
          <w:rFonts w:ascii="Times New Roman" w:hAnsi="Times New Roman" w:cs="Times New Roman"/>
          <w:sz w:val="24"/>
          <w:szCs w:val="24"/>
        </w:rPr>
      </w:pPr>
    </w:p>
    <w:p w14:paraId="16A92B37" w14:textId="77777777" w:rsidR="00EF3871" w:rsidRDefault="005801AD" w:rsidP="00EF3871">
      <w:pPr>
        <w:ind w:firstLine="720"/>
        <w:jc w:val="both"/>
        <w:rPr>
          <w:rFonts w:ascii="Times New Roman" w:hAnsi="Times New Roman" w:cs="Times New Roman"/>
          <w:sz w:val="24"/>
          <w:szCs w:val="24"/>
        </w:rPr>
      </w:pPr>
      <w:r w:rsidRPr="00EF3871">
        <w:rPr>
          <w:rFonts w:ascii="Times New Roman" w:hAnsi="Times New Roman" w:cs="Times New Roman"/>
          <w:sz w:val="24"/>
          <w:szCs w:val="24"/>
        </w:rPr>
        <w:t xml:space="preserve">Постановлением специализированного межрайонного административного суда города Алматы от 28 мая 2019 года Товарищество с ограниченной ответственностью «Букмекерская контора «O» (далее – Товарищество) привлечено к административной ответственности по части 1 статьи 278 Кодекса Республики Казахстан об административных правонарушениях (далее – КоАП) и подвергнуто административному взысканию в виде штрафа в размере 222 229 642 тенге. Постановлением судебной коллегии по гражданским делам Алматинского городского суда от 2 июля 2019 года постановление суда первой инстанции отменено, производство по делу прекращено за истечением сроков давности привлечения к административной ответственности. </w:t>
      </w:r>
    </w:p>
    <w:p w14:paraId="5519C742" w14:textId="77777777" w:rsidR="00EF3871" w:rsidRDefault="005801AD" w:rsidP="00EF3871">
      <w:pPr>
        <w:ind w:firstLine="720"/>
        <w:jc w:val="both"/>
        <w:rPr>
          <w:rFonts w:ascii="Times New Roman" w:hAnsi="Times New Roman" w:cs="Times New Roman"/>
          <w:sz w:val="24"/>
          <w:szCs w:val="24"/>
        </w:rPr>
      </w:pPr>
      <w:r w:rsidRPr="00EF3871">
        <w:rPr>
          <w:rFonts w:ascii="Times New Roman" w:hAnsi="Times New Roman" w:cs="Times New Roman"/>
          <w:sz w:val="24"/>
          <w:szCs w:val="24"/>
        </w:rPr>
        <w:t xml:space="preserve">В представлении Председатель Верховного Суда предлагает пересмотреть постановление суда апелляционной инстанции в кассационном порядке ввиду нарушения единообразия в толковании и применении судами норм права. Из материалов дела следует, что Департаментом государственных доходов по городу Алматы проведена налоговая проверка деятельности Товарищества, по результатам которой установлено, что налогоплательщиком занижен налог на игорный бизнес на общую сумму 1 509 165 486 тенге, в том числе: в четвертом квартале 2013 года на 290 793 468 тенге, в первом квартале 2014 года на 477 606 543 тенге, во втором квартале 2014 года на 740 765 475 тенге. В связи с этим акт документальной налоговой проверки от 25 февраля 2016 года № 2453 направлен в Службу экономических расследований Департамента государственных доходов по городу Алматы (далее – СЭР) для принятия процессуального решения. </w:t>
      </w:r>
    </w:p>
    <w:p w14:paraId="248E0CA2" w14:textId="412E6C2A" w:rsidR="00EF3871" w:rsidRDefault="005801AD" w:rsidP="00EF3871">
      <w:pPr>
        <w:ind w:firstLine="720"/>
        <w:jc w:val="both"/>
        <w:rPr>
          <w:rFonts w:ascii="Times New Roman" w:hAnsi="Times New Roman" w:cs="Times New Roman"/>
          <w:sz w:val="24"/>
          <w:szCs w:val="24"/>
        </w:rPr>
      </w:pPr>
      <w:r w:rsidRPr="00EF3871">
        <w:rPr>
          <w:rFonts w:ascii="Times New Roman" w:hAnsi="Times New Roman" w:cs="Times New Roman"/>
          <w:sz w:val="24"/>
          <w:szCs w:val="24"/>
        </w:rPr>
        <w:t xml:space="preserve">Постановлением СЭР от 3 августа 2018 года прекращено досудебное расследование в отношении работников </w:t>
      </w:r>
      <w:hyperlink r:id="rId6" w:history="1">
        <w:r w:rsidRPr="00450B27">
          <w:rPr>
            <w:rStyle w:val="aa"/>
            <w:rFonts w:ascii="Times New Roman" w:hAnsi="Times New Roman" w:cs="Times New Roman"/>
            <w:sz w:val="24"/>
            <w:szCs w:val="24"/>
          </w:rPr>
          <w:t>Товарищества за отсутствием состава уголовного правонарушения.</w:t>
        </w:r>
      </w:hyperlink>
      <w:r w:rsidRPr="00EF3871">
        <w:rPr>
          <w:rFonts w:ascii="Times New Roman" w:hAnsi="Times New Roman" w:cs="Times New Roman"/>
          <w:sz w:val="24"/>
          <w:szCs w:val="24"/>
        </w:rPr>
        <w:t xml:space="preserve"> Данные обстоятельства послужили основанием для составления в отношении Товарищества протокола об административном правонарушении. Из имеющейся в деле переписки следует, что в связи с перерегистрацией налогоплательщика и заявлением им ходатайств материалы неоднократно передавались органами государственных доходов городов Алматы и Астана друг другу для принятия решения. В результате по факту совершенных нарушений налогового законодательства протокол об административном правонарушении в отношении Товарищества был составлен 2 мая 2019 года. </w:t>
      </w:r>
    </w:p>
    <w:p w14:paraId="7FE72E0E" w14:textId="77777777" w:rsidR="00EF3871" w:rsidRDefault="005801AD" w:rsidP="00EF3871">
      <w:pPr>
        <w:ind w:firstLine="720"/>
        <w:jc w:val="both"/>
        <w:rPr>
          <w:rFonts w:ascii="Times New Roman" w:hAnsi="Times New Roman" w:cs="Times New Roman"/>
          <w:sz w:val="24"/>
          <w:szCs w:val="24"/>
        </w:rPr>
      </w:pPr>
      <w:r w:rsidRPr="00EF3871">
        <w:rPr>
          <w:rFonts w:ascii="Times New Roman" w:hAnsi="Times New Roman" w:cs="Times New Roman"/>
          <w:sz w:val="24"/>
          <w:szCs w:val="24"/>
        </w:rPr>
        <w:t xml:space="preserve">На основании указанного протокола постановлением суда первой инстанции Товарищество привлечено к административной ответственности по части 1 статьи 278 КоАП. Суд апелляционной инстанции, отменяя постановление нижестоящего суда и прекращая производство по делу, мотивировал свои выводы тем, что истек трехмесячный срок давности привлечения к административной ответственности со дня поступления решения о прекращении уголовного дела согласно части 6 статьи 62 КоАП. Однако этот вывод является несостоятельным. Действительно, в соответствии с частью 6 статьи 62 КоАП в случае прекращения уголовного дела при наличии в действиях нарушителя признаков административного правонарушения лицо может быть привлечено к административной ответственности не позднее трех месяцев со дня поступления решения о его прекращении. Вместе с тем производство по уголовному делу не могло осуществляться в отношении Товарищества, поскольку к субъектам уголовной ответственности относятся только физические, но не юридические лица. </w:t>
      </w:r>
    </w:p>
    <w:p w14:paraId="1ADF8352" w14:textId="77777777" w:rsidR="00EF3871" w:rsidRDefault="005801AD" w:rsidP="00EF3871">
      <w:pPr>
        <w:ind w:firstLine="720"/>
        <w:jc w:val="both"/>
        <w:rPr>
          <w:rFonts w:ascii="Times New Roman" w:hAnsi="Times New Roman" w:cs="Times New Roman"/>
          <w:sz w:val="24"/>
          <w:szCs w:val="24"/>
        </w:rPr>
      </w:pPr>
      <w:r w:rsidRPr="00EF3871">
        <w:rPr>
          <w:rFonts w:ascii="Times New Roman" w:hAnsi="Times New Roman" w:cs="Times New Roman"/>
          <w:sz w:val="24"/>
          <w:szCs w:val="24"/>
        </w:rPr>
        <w:lastRenderedPageBreak/>
        <w:t>Поэтому положения части 6 статьи 62 КоАП могли применяться только при разрешении вопроса о привлечении к административной ответственности должностных лиц Товарищества. Срок давности наложения административного взыскания на Товарищество регламентирован положениями части 2 статьи 62 КоАП, согласно которой юридическое лицо не подлежит привлечению к административной ответственности за совершение административного правонарушения в области налогообложения по истечении пяти лет со дня его совершения. Правонарушения совершены Товариществом в четвертом квартале 2013 года, а также в первом, втором кварталах 2014 года.</w:t>
      </w:r>
    </w:p>
    <w:p w14:paraId="02C8680F" w14:textId="301CF40D" w:rsidR="00EF3871" w:rsidRDefault="005801AD" w:rsidP="00EF3871">
      <w:pPr>
        <w:ind w:firstLine="720"/>
        <w:jc w:val="both"/>
        <w:rPr>
          <w:rFonts w:ascii="Times New Roman" w:hAnsi="Times New Roman" w:cs="Times New Roman"/>
          <w:sz w:val="24"/>
          <w:szCs w:val="24"/>
        </w:rPr>
      </w:pPr>
      <w:r w:rsidRPr="00EF3871">
        <w:rPr>
          <w:rFonts w:ascii="Times New Roman" w:hAnsi="Times New Roman" w:cs="Times New Roman"/>
          <w:sz w:val="24"/>
          <w:szCs w:val="24"/>
        </w:rPr>
        <w:t xml:space="preserve"> С учетом положений статьи 418 Кодекса Республики Казахстан «О налогах и других обязательных платежах в бюджет (Налоговый кодекс)», действовавшего на момент совершения </w:t>
      </w:r>
      <w:hyperlink r:id="rId7" w:history="1">
        <w:r w:rsidRPr="00EF3871">
          <w:rPr>
            <w:rStyle w:val="aa"/>
            <w:rFonts w:ascii="Times New Roman" w:hAnsi="Times New Roman" w:cs="Times New Roman"/>
            <w:sz w:val="24"/>
            <w:szCs w:val="24"/>
          </w:rPr>
          <w:t>правонарушений, пятилетний срок давности на день составления протокола об</w:t>
        </w:r>
      </w:hyperlink>
      <w:r w:rsidRPr="00EF3871">
        <w:rPr>
          <w:rFonts w:ascii="Times New Roman" w:hAnsi="Times New Roman" w:cs="Times New Roman"/>
          <w:sz w:val="24"/>
          <w:szCs w:val="24"/>
        </w:rPr>
        <w:t xml:space="preserve"> административном правонарушении истек лишь в части нарушений, совершенных в 4 квартале 2013 года. Однако по правонарушениям 1 и 2 кварталов 2014 года данный срок не истек. </w:t>
      </w:r>
    </w:p>
    <w:p w14:paraId="1C113091" w14:textId="0BBD934B" w:rsidR="00F173BA" w:rsidRPr="00EF3871" w:rsidRDefault="005801AD" w:rsidP="00EF3871">
      <w:pPr>
        <w:ind w:firstLine="720"/>
        <w:jc w:val="both"/>
        <w:rPr>
          <w:rFonts w:ascii="Times New Roman" w:hAnsi="Times New Roman" w:cs="Times New Roman"/>
          <w:sz w:val="24"/>
          <w:szCs w:val="24"/>
        </w:rPr>
      </w:pPr>
      <w:r w:rsidRPr="00EF3871">
        <w:rPr>
          <w:rFonts w:ascii="Times New Roman" w:hAnsi="Times New Roman" w:cs="Times New Roman"/>
          <w:sz w:val="24"/>
          <w:szCs w:val="24"/>
        </w:rPr>
        <w:t>Специализированная судебная коллегия Верховного Суда отменила постановление апелляционной инстанции в отношении Товарищества с ограниченной ответственностью «Букмекерская контора «O» о прекращении административного производства с оставлением в силе постановления суда первой инстанции. Представление Председателя Верховного Суда Республики Казахстан удовлетворено.</w:t>
      </w:r>
    </w:p>
    <w:p w14:paraId="1D196CDE" w14:textId="737247FA" w:rsidR="00F173BA" w:rsidRPr="00EF3871" w:rsidRDefault="00F173BA" w:rsidP="00EF3871">
      <w:pPr>
        <w:jc w:val="both"/>
        <w:rPr>
          <w:rFonts w:ascii="Times New Roman" w:hAnsi="Times New Roman" w:cs="Times New Roman"/>
          <w:sz w:val="24"/>
          <w:szCs w:val="24"/>
        </w:rPr>
      </w:pPr>
    </w:p>
    <w:p w14:paraId="02403F08" w14:textId="75BEB719" w:rsidR="00F173BA" w:rsidRPr="00EF3871" w:rsidRDefault="00F173BA" w:rsidP="00EF3871">
      <w:pPr>
        <w:jc w:val="both"/>
        <w:rPr>
          <w:rFonts w:ascii="Times New Roman" w:hAnsi="Times New Roman" w:cs="Times New Roman"/>
          <w:sz w:val="24"/>
          <w:szCs w:val="24"/>
        </w:rPr>
      </w:pPr>
    </w:p>
    <w:p w14:paraId="308325D5" w14:textId="324F2E94" w:rsidR="00F173BA" w:rsidRPr="00EF3871" w:rsidRDefault="00F173BA" w:rsidP="00EF3871">
      <w:pPr>
        <w:jc w:val="both"/>
        <w:rPr>
          <w:rFonts w:ascii="Times New Roman" w:hAnsi="Times New Roman" w:cs="Times New Roman"/>
          <w:sz w:val="24"/>
          <w:szCs w:val="24"/>
        </w:rPr>
      </w:pPr>
    </w:p>
    <w:p w14:paraId="22BAA135" w14:textId="6CC745FE" w:rsidR="00F173BA" w:rsidRPr="00EF3871" w:rsidRDefault="00F173BA" w:rsidP="00EF3871">
      <w:pPr>
        <w:jc w:val="both"/>
        <w:rPr>
          <w:rFonts w:ascii="Times New Roman" w:hAnsi="Times New Roman" w:cs="Times New Roman"/>
          <w:sz w:val="24"/>
          <w:szCs w:val="24"/>
        </w:rPr>
      </w:pPr>
    </w:p>
    <w:p w14:paraId="33D51603" w14:textId="10BA4AEF" w:rsidR="00F173BA" w:rsidRPr="00EF3871" w:rsidRDefault="00F173BA" w:rsidP="00EF3871">
      <w:pPr>
        <w:jc w:val="both"/>
        <w:rPr>
          <w:rFonts w:ascii="Times New Roman" w:hAnsi="Times New Roman" w:cs="Times New Roman"/>
          <w:sz w:val="24"/>
          <w:szCs w:val="24"/>
        </w:rPr>
      </w:pPr>
    </w:p>
    <w:p w14:paraId="55D95E22" w14:textId="0EFD17BF" w:rsidR="00F173BA" w:rsidRPr="00EF3871" w:rsidRDefault="00F173BA" w:rsidP="00EF3871">
      <w:pPr>
        <w:jc w:val="both"/>
        <w:rPr>
          <w:rFonts w:ascii="Times New Roman" w:hAnsi="Times New Roman" w:cs="Times New Roman"/>
          <w:sz w:val="24"/>
          <w:szCs w:val="24"/>
        </w:rPr>
      </w:pPr>
    </w:p>
    <w:p w14:paraId="1E84A240" w14:textId="61513D00" w:rsidR="00F173BA" w:rsidRPr="00EF3871" w:rsidRDefault="00F173BA" w:rsidP="00EF3871">
      <w:pPr>
        <w:jc w:val="both"/>
        <w:rPr>
          <w:rFonts w:ascii="Times New Roman" w:hAnsi="Times New Roman" w:cs="Times New Roman"/>
          <w:sz w:val="24"/>
          <w:szCs w:val="24"/>
        </w:rPr>
      </w:pPr>
    </w:p>
    <w:p w14:paraId="049E1B58" w14:textId="408BB97D" w:rsidR="00F173BA" w:rsidRPr="00EF3871" w:rsidRDefault="00F173BA" w:rsidP="00EF3871">
      <w:pPr>
        <w:jc w:val="both"/>
        <w:rPr>
          <w:rFonts w:ascii="Times New Roman" w:hAnsi="Times New Roman" w:cs="Times New Roman"/>
          <w:sz w:val="24"/>
          <w:szCs w:val="24"/>
        </w:rPr>
      </w:pPr>
    </w:p>
    <w:p w14:paraId="3F19C72F" w14:textId="49CAEBA5" w:rsidR="00F173BA" w:rsidRPr="00EF3871" w:rsidRDefault="00F173BA" w:rsidP="00EF3871">
      <w:pPr>
        <w:tabs>
          <w:tab w:val="left" w:pos="6948"/>
        </w:tabs>
        <w:jc w:val="both"/>
        <w:rPr>
          <w:rFonts w:ascii="Times New Roman" w:hAnsi="Times New Roman" w:cs="Times New Roman"/>
          <w:sz w:val="24"/>
          <w:szCs w:val="24"/>
        </w:rPr>
      </w:pPr>
      <w:r w:rsidRPr="00EF3871">
        <w:rPr>
          <w:rFonts w:ascii="Times New Roman" w:hAnsi="Times New Roman" w:cs="Times New Roman"/>
          <w:sz w:val="24"/>
          <w:szCs w:val="24"/>
        </w:rPr>
        <w:tab/>
      </w:r>
    </w:p>
    <w:sectPr w:rsidR="00F173BA" w:rsidRPr="00EF3871"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41C0AD" w14:textId="77777777" w:rsidR="00DC06B7" w:rsidRDefault="00DC06B7" w:rsidP="00702393">
      <w:pPr>
        <w:spacing w:after="0" w:line="240" w:lineRule="auto"/>
      </w:pPr>
      <w:r>
        <w:separator/>
      </w:r>
    </w:p>
  </w:endnote>
  <w:endnote w:type="continuationSeparator" w:id="0">
    <w:p w14:paraId="65919E33" w14:textId="77777777" w:rsidR="00DC06B7" w:rsidRDefault="00DC06B7"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597AF0" w14:textId="77777777" w:rsidR="00DC06B7" w:rsidRDefault="00DC06B7" w:rsidP="00702393">
      <w:pPr>
        <w:spacing w:after="0" w:line="240" w:lineRule="auto"/>
      </w:pPr>
      <w:r>
        <w:separator/>
      </w:r>
    </w:p>
  </w:footnote>
  <w:footnote w:type="continuationSeparator" w:id="0">
    <w:p w14:paraId="423FAAF1" w14:textId="77777777" w:rsidR="00DC06B7" w:rsidRDefault="00DC06B7"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93E1B"/>
    <w:rsid w:val="001C5801"/>
    <w:rsid w:val="001E7ED8"/>
    <w:rsid w:val="002570B0"/>
    <w:rsid w:val="002A1A72"/>
    <w:rsid w:val="002B659E"/>
    <w:rsid w:val="00315990"/>
    <w:rsid w:val="00327D34"/>
    <w:rsid w:val="00327E86"/>
    <w:rsid w:val="00396063"/>
    <w:rsid w:val="003C77EA"/>
    <w:rsid w:val="003E3623"/>
    <w:rsid w:val="00435A10"/>
    <w:rsid w:val="00442855"/>
    <w:rsid w:val="00450B27"/>
    <w:rsid w:val="00461793"/>
    <w:rsid w:val="005801AD"/>
    <w:rsid w:val="005A3B78"/>
    <w:rsid w:val="006B0A4D"/>
    <w:rsid w:val="006E2D0A"/>
    <w:rsid w:val="00702393"/>
    <w:rsid w:val="00722D19"/>
    <w:rsid w:val="008A7236"/>
    <w:rsid w:val="008E7DF6"/>
    <w:rsid w:val="0091354D"/>
    <w:rsid w:val="00940023"/>
    <w:rsid w:val="0094655E"/>
    <w:rsid w:val="009E6904"/>
    <w:rsid w:val="00A23573"/>
    <w:rsid w:val="00A45B15"/>
    <w:rsid w:val="00A81D5F"/>
    <w:rsid w:val="00B31BDB"/>
    <w:rsid w:val="00BD7730"/>
    <w:rsid w:val="00C16D9C"/>
    <w:rsid w:val="00CB275A"/>
    <w:rsid w:val="00CF5BD5"/>
    <w:rsid w:val="00D02DFB"/>
    <w:rsid w:val="00DB660C"/>
    <w:rsid w:val="00DC06B7"/>
    <w:rsid w:val="00EE78AD"/>
    <w:rsid w:val="00EF3871"/>
    <w:rsid w:val="00F01000"/>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EF3871"/>
    <w:rPr>
      <w:color w:val="0563C1" w:themeColor="hyperlink"/>
      <w:u w:val="single"/>
    </w:rPr>
  </w:style>
  <w:style w:type="character" w:styleId="ab">
    <w:name w:val="Unresolved Mention"/>
    <w:basedOn w:val="a0"/>
    <w:uiPriority w:val="99"/>
    <w:semiHidden/>
    <w:unhideWhenUsed/>
    <w:rsid w:val="00EF38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zakonpravo.kz/publikaci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k.ru/group/59369613230259"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2</Pages>
  <Words>729</Words>
  <Characters>4157</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36</cp:revision>
  <cp:lastPrinted>2021-08-17T09:04:00Z</cp:lastPrinted>
  <dcterms:created xsi:type="dcterms:W3CDTF">2021-08-13T09:00:00Z</dcterms:created>
  <dcterms:modified xsi:type="dcterms:W3CDTF">2021-12-10T11:26:00Z</dcterms:modified>
</cp:coreProperties>
</file>