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332E25C2" w:rsidR="00A81D5F" w:rsidRPr="002B13B4" w:rsidRDefault="00A14611" w:rsidP="008223EB">
      <w:pPr>
        <w:jc w:val="center"/>
        <w:rPr>
          <w:rFonts w:ascii="Times New Roman" w:hAnsi="Times New Roman" w:cs="Times New Roman"/>
          <w:b/>
          <w:bCs/>
          <w:sz w:val="24"/>
          <w:szCs w:val="24"/>
        </w:rPr>
      </w:pPr>
      <w:r w:rsidRPr="002B13B4">
        <w:rPr>
          <w:rFonts w:ascii="Times New Roman" w:hAnsi="Times New Roman" w:cs="Times New Roman"/>
          <w:b/>
          <w:bCs/>
          <w:sz w:val="24"/>
          <w:szCs w:val="24"/>
        </w:rPr>
        <w:t>Споры, связанные с жилищными правоотношениями</w:t>
      </w:r>
      <w:r w:rsidR="008223EB">
        <w:rPr>
          <w:rFonts w:ascii="Times New Roman" w:hAnsi="Times New Roman" w:cs="Times New Roman"/>
          <w:b/>
          <w:bCs/>
          <w:sz w:val="24"/>
          <w:szCs w:val="24"/>
          <w:lang w:val="kk-KZ"/>
        </w:rPr>
        <w:t>,</w:t>
      </w:r>
      <w:r w:rsidRPr="002B13B4">
        <w:rPr>
          <w:rFonts w:ascii="Times New Roman" w:hAnsi="Times New Roman" w:cs="Times New Roman"/>
          <w:b/>
          <w:bCs/>
          <w:sz w:val="24"/>
          <w:szCs w:val="24"/>
        </w:rPr>
        <w:t xml:space="preserve"> право собственности передается другому лицу со всеми обременениями, имевшимися на момент совершения сделки</w:t>
      </w:r>
    </w:p>
    <w:p w14:paraId="7EA7FA65" w14:textId="0D3DEF47" w:rsidR="00F173BA" w:rsidRPr="002B13B4" w:rsidRDefault="00F173BA" w:rsidP="002B13B4">
      <w:pPr>
        <w:jc w:val="both"/>
        <w:rPr>
          <w:rFonts w:ascii="Times New Roman" w:hAnsi="Times New Roman" w:cs="Times New Roman"/>
          <w:sz w:val="24"/>
          <w:szCs w:val="24"/>
        </w:rPr>
      </w:pPr>
    </w:p>
    <w:p w14:paraId="2AB3B213" w14:textId="77777777" w:rsidR="002B13B4" w:rsidRDefault="00C037E8" w:rsidP="002B13B4">
      <w:pPr>
        <w:ind w:firstLine="720"/>
        <w:jc w:val="both"/>
        <w:rPr>
          <w:rFonts w:ascii="Times New Roman" w:hAnsi="Times New Roman" w:cs="Times New Roman"/>
          <w:sz w:val="24"/>
          <w:szCs w:val="24"/>
        </w:rPr>
      </w:pPr>
      <w:r w:rsidRPr="002B13B4">
        <w:rPr>
          <w:rFonts w:ascii="Times New Roman" w:hAnsi="Times New Roman" w:cs="Times New Roman"/>
          <w:sz w:val="24"/>
          <w:szCs w:val="24"/>
        </w:rPr>
        <w:t xml:space="preserve">Б. обратился в суд с иском к коммунальному государственному учреждению (далее – КГУ) «Управление государственного архитектурно-строительного контроля города Алматы», КГУ «Управление архитектуры и градостроительства города Алматы», республиканскому государственному учреждению «Департамент охраны общественного здоровья по городу Алматы Комитета охраны общественного здоровья Министерства здравоохранения Республики Казахстан» (далее – РГУ), РГУ «Департамент по чрезвычайным ситуациям по городу Алматы Комитета по чрезвычайным ситуациям Министерства внутренних дел Республики Казахстан», А. о признании недействительным акта приемочной комиссии, отмене его государственной регистрации, мотивируя тем, что 18 октября 2017 года он заключил с А. договор мены, по которому обменял свой жилой дом на квартиру ответчика. </w:t>
      </w:r>
    </w:p>
    <w:p w14:paraId="41CFCD75" w14:textId="77777777" w:rsidR="002B13B4" w:rsidRDefault="00C037E8" w:rsidP="002B13B4">
      <w:pPr>
        <w:ind w:firstLine="720"/>
        <w:jc w:val="both"/>
        <w:rPr>
          <w:rFonts w:ascii="Times New Roman" w:hAnsi="Times New Roman" w:cs="Times New Roman"/>
          <w:sz w:val="24"/>
          <w:szCs w:val="24"/>
        </w:rPr>
      </w:pPr>
      <w:r w:rsidRPr="002B13B4">
        <w:rPr>
          <w:rFonts w:ascii="Times New Roman" w:hAnsi="Times New Roman" w:cs="Times New Roman"/>
          <w:sz w:val="24"/>
          <w:szCs w:val="24"/>
        </w:rPr>
        <w:t xml:space="preserve">В момент заключения договора ответчик скрыла факт перепланировки квартиры из двухкомнатной в трехкомнатную путем переоборудования кладовой комнаты в жилую в нарушение требований законодательства. Решением Медеуского районного суда города Алматы от 20 августа 2018 года иск удовлетворен, признан недействительным акт приемочной комиссии от 1 сентября 2015 года № 1799 о принятии в эксплуатацию произведенной перепланировки жилой квартиры (далее – Акт приемочной комиссии), расположенной по адресу: город Алматы, Жетысуский район, микрорайон Дорожник, дом 24, квартира 5 (далее – Квартира). Отменена его государственная регистрация. Постановлением судебной коллегии по гражданским делам Алматинского городского суда от 19 декабря 2018 года решение суда первой инстанции оставлено без изменения. </w:t>
      </w:r>
    </w:p>
    <w:p w14:paraId="009557A1" w14:textId="24B3771E" w:rsidR="002B13B4" w:rsidRDefault="00C037E8" w:rsidP="002B13B4">
      <w:pPr>
        <w:ind w:firstLine="720"/>
        <w:jc w:val="both"/>
        <w:rPr>
          <w:rFonts w:ascii="Times New Roman" w:hAnsi="Times New Roman" w:cs="Times New Roman"/>
          <w:sz w:val="24"/>
          <w:szCs w:val="24"/>
        </w:rPr>
      </w:pPr>
      <w:r w:rsidRPr="002B13B4">
        <w:rPr>
          <w:rFonts w:ascii="Times New Roman" w:hAnsi="Times New Roman" w:cs="Times New Roman"/>
          <w:sz w:val="24"/>
          <w:szCs w:val="24"/>
        </w:rPr>
        <w:t xml:space="preserve">Судебная коллегия по гражданским делам Верховного Суда отменила судебные акты местных судов и вынесла новое решение об отказе в иске Б. по следующим основаниям. Из материалов дела следует, что местные суды, удовлетворяя исковые требования Б. о признании недействительным </w:t>
      </w:r>
      <w:hyperlink r:id="rId6" w:history="1">
        <w:r w:rsidRPr="00087C02">
          <w:rPr>
            <w:rStyle w:val="aa"/>
            <w:rFonts w:ascii="Times New Roman" w:hAnsi="Times New Roman" w:cs="Times New Roman"/>
            <w:sz w:val="24"/>
            <w:szCs w:val="24"/>
          </w:rPr>
          <w:t>Акта приемочной комиссии, отмене его государственной регистрации в</w:t>
        </w:r>
      </w:hyperlink>
      <w:r w:rsidRPr="002B13B4">
        <w:rPr>
          <w:rFonts w:ascii="Times New Roman" w:hAnsi="Times New Roman" w:cs="Times New Roman"/>
          <w:sz w:val="24"/>
          <w:szCs w:val="24"/>
        </w:rPr>
        <w:t xml:space="preserve"> органах юстиции, исходили из того, что оспариваемый акт приемочной комиссии не соответствует действующим нормам и правилам. Так, в обоснование своих выводов местные суды указали, что перепланировка квартиры произведена с грубыми нарушениями санитарных норм – СН РК 1.04-26-2011 «Реконструкция, капитальный и текущий ремонт жилых и общественных зданий», без соблюдения членами приемочной комиссии нормативных актов по приемке перепланировки в эксплуатацию.</w:t>
      </w:r>
    </w:p>
    <w:p w14:paraId="0D2A5960" w14:textId="77777777" w:rsidR="002B13B4" w:rsidRDefault="00C037E8" w:rsidP="002B13B4">
      <w:pPr>
        <w:ind w:firstLine="720"/>
        <w:jc w:val="both"/>
        <w:rPr>
          <w:rFonts w:ascii="Times New Roman" w:hAnsi="Times New Roman" w:cs="Times New Roman"/>
          <w:sz w:val="24"/>
          <w:szCs w:val="24"/>
        </w:rPr>
      </w:pPr>
      <w:r w:rsidRPr="002B13B4">
        <w:rPr>
          <w:rFonts w:ascii="Times New Roman" w:hAnsi="Times New Roman" w:cs="Times New Roman"/>
          <w:sz w:val="24"/>
          <w:szCs w:val="24"/>
        </w:rPr>
        <w:t xml:space="preserve"> Как установлено, вновь оборудованная жилая комната, помещение № 7 по техническому паспорту, не имеет окон, что является нарушением подпунктов 6.10.1, 6.10.2, 6.10.3 СН РК «Технические требования, предъявляемые к жилищам», подпункта 9.5, пункта 9 СНиП РК </w:t>
      </w:r>
      <w:proofErr w:type="gramStart"/>
      <w:r w:rsidRPr="002B13B4">
        <w:rPr>
          <w:rFonts w:ascii="Times New Roman" w:hAnsi="Times New Roman" w:cs="Times New Roman"/>
          <w:sz w:val="24"/>
          <w:szCs w:val="24"/>
        </w:rPr>
        <w:t>3.02-43-2007</w:t>
      </w:r>
      <w:proofErr w:type="gramEnd"/>
      <w:r w:rsidRPr="002B13B4">
        <w:rPr>
          <w:rFonts w:ascii="Times New Roman" w:hAnsi="Times New Roman" w:cs="Times New Roman"/>
          <w:sz w:val="24"/>
          <w:szCs w:val="24"/>
        </w:rPr>
        <w:t xml:space="preserve"> «Жилые здания» предусматривающих обязательность естественного освещения. Судами принят во внимание факт привлечения собственника квартиры А. 3 июня 2015 года к административной ответственности за нарушение требований архитектурно-строительного законодательства. Также судами учтены пояснения представителей уполномоченных органов об отсутствии документации, необходимой для выдачи оспариваемого Акта приемочной комиссии. Между тем данные выводы судебных инстанций судебная коллегия сочла ошибочными. </w:t>
      </w:r>
    </w:p>
    <w:p w14:paraId="7989349B" w14:textId="77777777" w:rsidR="002B13B4" w:rsidRDefault="00C037E8" w:rsidP="002B13B4">
      <w:pPr>
        <w:ind w:firstLine="720"/>
        <w:jc w:val="both"/>
        <w:rPr>
          <w:rFonts w:ascii="Times New Roman" w:hAnsi="Times New Roman" w:cs="Times New Roman"/>
          <w:sz w:val="24"/>
          <w:szCs w:val="24"/>
        </w:rPr>
      </w:pPr>
      <w:r w:rsidRPr="002B13B4">
        <w:rPr>
          <w:rFonts w:ascii="Times New Roman" w:hAnsi="Times New Roman" w:cs="Times New Roman"/>
          <w:sz w:val="24"/>
          <w:szCs w:val="24"/>
        </w:rPr>
        <w:t xml:space="preserve">Как установлено, истец до заключения договора мены от 18 октября 2017 года осмотрел квартиру и видел состояние жилища, в том числе переоборудованной комнаты. </w:t>
      </w:r>
      <w:r w:rsidRPr="002B13B4">
        <w:rPr>
          <w:rFonts w:ascii="Times New Roman" w:hAnsi="Times New Roman" w:cs="Times New Roman"/>
          <w:sz w:val="24"/>
          <w:szCs w:val="24"/>
        </w:rPr>
        <w:lastRenderedPageBreak/>
        <w:t xml:space="preserve">Кроме того, в договоре мены в качестве правоустанавливающего документа указан Акт приемочной комиссии, что свидетельствует об осведомленности истца относительно перепланировки квартиры и передаче ему именно того имущества, которое предусмотрено договором. В соответствии с пунктом 1 статьи 188 Гражданского кодекса Республики Казахстан (далее – ГК) право собственности передается другому лицу со всеми обременениями, имевшимися на момент совершения сделки. </w:t>
      </w:r>
    </w:p>
    <w:p w14:paraId="5C091914" w14:textId="77777777" w:rsidR="002B13B4" w:rsidRDefault="00C037E8" w:rsidP="002B13B4">
      <w:pPr>
        <w:ind w:firstLine="720"/>
        <w:jc w:val="both"/>
        <w:rPr>
          <w:rFonts w:ascii="Times New Roman" w:hAnsi="Times New Roman" w:cs="Times New Roman"/>
          <w:sz w:val="24"/>
          <w:szCs w:val="24"/>
        </w:rPr>
      </w:pPr>
      <w:r w:rsidRPr="002B13B4">
        <w:rPr>
          <w:rFonts w:ascii="Times New Roman" w:hAnsi="Times New Roman" w:cs="Times New Roman"/>
          <w:sz w:val="24"/>
          <w:szCs w:val="24"/>
        </w:rPr>
        <w:t xml:space="preserve">Следовательно, истец, приобретший квартиру с перепланировкой, не вправе оспаривать законность Акта приемочной комиссии, полученного предыдущим собственником. При отсутствии права требования на оспаривание Акта приемочной комиссии доводы истца о нарушениях, допущенных ответчиками при оформлении данного документа, не могут быть основанием для признания его недействительным. </w:t>
      </w:r>
    </w:p>
    <w:p w14:paraId="1C113091" w14:textId="65663020" w:rsidR="00F173BA" w:rsidRPr="002B13B4" w:rsidRDefault="00C037E8" w:rsidP="002B13B4">
      <w:pPr>
        <w:ind w:firstLine="720"/>
        <w:jc w:val="both"/>
        <w:rPr>
          <w:rFonts w:ascii="Times New Roman" w:hAnsi="Times New Roman" w:cs="Times New Roman"/>
          <w:sz w:val="24"/>
          <w:szCs w:val="24"/>
        </w:rPr>
      </w:pPr>
      <w:r w:rsidRPr="002B13B4">
        <w:rPr>
          <w:rFonts w:ascii="Times New Roman" w:hAnsi="Times New Roman" w:cs="Times New Roman"/>
          <w:sz w:val="24"/>
          <w:szCs w:val="24"/>
        </w:rPr>
        <w:t xml:space="preserve">Более того, признание судом Акта приемочной комиссии недействительным положено в основу постановления апелляционной инстанции Алматинского городского суда от 24 декабря 2018 года, которым удовлетворены исковые требования Б. об оспаривании договора мены от 18 октября 2017 года. При таких обстоятельствах судебная коллегия сочла обоснованными доводы ходатайства о недобросовестном поведении истца. В соответствии с пунктом 5 статьи 8 ГК не </w:t>
      </w:r>
      <w:hyperlink r:id="rId7" w:history="1">
        <w:r w:rsidRPr="002B13B4">
          <w:rPr>
            <w:rStyle w:val="aa"/>
            <w:rFonts w:ascii="Times New Roman" w:hAnsi="Times New Roman" w:cs="Times New Roman"/>
            <w:sz w:val="24"/>
            <w:szCs w:val="24"/>
          </w:rPr>
          <w:t>допускаются действия граждан и юридических лиц, направленные на</w:t>
        </w:r>
      </w:hyperlink>
      <w:r w:rsidRPr="002B13B4">
        <w:rPr>
          <w:rFonts w:ascii="Times New Roman" w:hAnsi="Times New Roman" w:cs="Times New Roman"/>
          <w:sz w:val="24"/>
          <w:szCs w:val="24"/>
        </w:rPr>
        <w:t xml:space="preserve"> причинение вреда другому лицу, злоупотребление правом в иных формах, а также осуществление права в противоречии с его назначением.</w:t>
      </w:r>
    </w:p>
    <w:p w14:paraId="1D196CDE" w14:textId="737247FA" w:rsidR="00F173BA" w:rsidRPr="002B13B4" w:rsidRDefault="00F173BA" w:rsidP="002B13B4">
      <w:pPr>
        <w:jc w:val="both"/>
        <w:rPr>
          <w:rFonts w:ascii="Times New Roman" w:hAnsi="Times New Roman" w:cs="Times New Roman"/>
          <w:sz w:val="24"/>
          <w:szCs w:val="24"/>
        </w:rPr>
      </w:pPr>
    </w:p>
    <w:p w14:paraId="02403F08" w14:textId="75BEB719" w:rsidR="00F173BA" w:rsidRPr="002B13B4" w:rsidRDefault="00F173BA" w:rsidP="002B13B4">
      <w:pPr>
        <w:jc w:val="both"/>
        <w:rPr>
          <w:rFonts w:ascii="Times New Roman" w:hAnsi="Times New Roman" w:cs="Times New Roman"/>
          <w:sz w:val="24"/>
          <w:szCs w:val="24"/>
        </w:rPr>
      </w:pPr>
    </w:p>
    <w:p w14:paraId="308325D5" w14:textId="324F2E94" w:rsidR="00F173BA" w:rsidRPr="002B13B4" w:rsidRDefault="00F173BA" w:rsidP="002B13B4">
      <w:pPr>
        <w:jc w:val="both"/>
        <w:rPr>
          <w:rFonts w:ascii="Times New Roman" w:hAnsi="Times New Roman" w:cs="Times New Roman"/>
          <w:sz w:val="24"/>
          <w:szCs w:val="24"/>
        </w:rPr>
      </w:pPr>
    </w:p>
    <w:p w14:paraId="22BAA135" w14:textId="6CC745FE" w:rsidR="00F173BA" w:rsidRPr="002B13B4" w:rsidRDefault="00F173BA" w:rsidP="002B13B4">
      <w:pPr>
        <w:jc w:val="both"/>
        <w:rPr>
          <w:rFonts w:ascii="Times New Roman" w:hAnsi="Times New Roman" w:cs="Times New Roman"/>
          <w:sz w:val="24"/>
          <w:szCs w:val="24"/>
        </w:rPr>
      </w:pPr>
    </w:p>
    <w:p w14:paraId="33D51603" w14:textId="10BA4AEF" w:rsidR="00F173BA" w:rsidRPr="002B13B4" w:rsidRDefault="00F173BA" w:rsidP="002B13B4">
      <w:pPr>
        <w:jc w:val="both"/>
        <w:rPr>
          <w:rFonts w:ascii="Times New Roman" w:hAnsi="Times New Roman" w:cs="Times New Roman"/>
          <w:sz w:val="24"/>
          <w:szCs w:val="24"/>
        </w:rPr>
      </w:pPr>
    </w:p>
    <w:p w14:paraId="55D95E22" w14:textId="0EFD17BF" w:rsidR="00F173BA" w:rsidRPr="002B13B4" w:rsidRDefault="00F173BA" w:rsidP="002B13B4">
      <w:pPr>
        <w:jc w:val="both"/>
        <w:rPr>
          <w:rFonts w:ascii="Times New Roman" w:hAnsi="Times New Roman" w:cs="Times New Roman"/>
          <w:sz w:val="24"/>
          <w:szCs w:val="24"/>
        </w:rPr>
      </w:pPr>
    </w:p>
    <w:p w14:paraId="1E84A240" w14:textId="61513D00" w:rsidR="00F173BA" w:rsidRPr="002B13B4" w:rsidRDefault="00F173BA" w:rsidP="002B13B4">
      <w:pPr>
        <w:jc w:val="both"/>
        <w:rPr>
          <w:rFonts w:ascii="Times New Roman" w:hAnsi="Times New Roman" w:cs="Times New Roman"/>
          <w:sz w:val="24"/>
          <w:szCs w:val="24"/>
        </w:rPr>
      </w:pPr>
    </w:p>
    <w:p w14:paraId="049E1B58" w14:textId="408BB97D" w:rsidR="00F173BA" w:rsidRPr="002B13B4" w:rsidRDefault="00F173BA" w:rsidP="002B13B4">
      <w:pPr>
        <w:jc w:val="both"/>
        <w:rPr>
          <w:rFonts w:ascii="Times New Roman" w:hAnsi="Times New Roman" w:cs="Times New Roman"/>
          <w:sz w:val="24"/>
          <w:szCs w:val="24"/>
        </w:rPr>
      </w:pPr>
    </w:p>
    <w:p w14:paraId="3F19C72F" w14:textId="49CAEBA5" w:rsidR="00F173BA" w:rsidRPr="002B13B4" w:rsidRDefault="00F173BA" w:rsidP="002B13B4">
      <w:pPr>
        <w:tabs>
          <w:tab w:val="left" w:pos="6948"/>
        </w:tabs>
        <w:jc w:val="both"/>
        <w:rPr>
          <w:rFonts w:ascii="Times New Roman" w:hAnsi="Times New Roman" w:cs="Times New Roman"/>
          <w:sz w:val="24"/>
          <w:szCs w:val="24"/>
        </w:rPr>
      </w:pPr>
      <w:r w:rsidRPr="002B13B4">
        <w:rPr>
          <w:rFonts w:ascii="Times New Roman" w:hAnsi="Times New Roman" w:cs="Times New Roman"/>
          <w:sz w:val="24"/>
          <w:szCs w:val="24"/>
        </w:rPr>
        <w:tab/>
      </w:r>
    </w:p>
    <w:sectPr w:rsidR="00F173BA" w:rsidRPr="002B13B4"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995EA" w14:textId="77777777" w:rsidR="009B2F44" w:rsidRDefault="009B2F44" w:rsidP="00702393">
      <w:pPr>
        <w:spacing w:after="0" w:line="240" w:lineRule="auto"/>
      </w:pPr>
      <w:r>
        <w:separator/>
      </w:r>
    </w:p>
  </w:endnote>
  <w:endnote w:type="continuationSeparator" w:id="0">
    <w:p w14:paraId="22668519" w14:textId="77777777" w:rsidR="009B2F44" w:rsidRDefault="009B2F4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35903" w14:textId="77777777" w:rsidR="009B2F44" w:rsidRDefault="009B2F44" w:rsidP="00702393">
      <w:pPr>
        <w:spacing w:after="0" w:line="240" w:lineRule="auto"/>
      </w:pPr>
      <w:r>
        <w:separator/>
      </w:r>
    </w:p>
  </w:footnote>
  <w:footnote w:type="continuationSeparator" w:id="0">
    <w:p w14:paraId="5745CA59" w14:textId="77777777" w:rsidR="009B2F44" w:rsidRDefault="009B2F4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87C02"/>
    <w:rsid w:val="00102D7B"/>
    <w:rsid w:val="00152128"/>
    <w:rsid w:val="001539CF"/>
    <w:rsid w:val="00193E1B"/>
    <w:rsid w:val="001C5801"/>
    <w:rsid w:val="001E7ED8"/>
    <w:rsid w:val="002570B0"/>
    <w:rsid w:val="002A1A72"/>
    <w:rsid w:val="002B13B4"/>
    <w:rsid w:val="002B659E"/>
    <w:rsid w:val="00315990"/>
    <w:rsid w:val="00327D34"/>
    <w:rsid w:val="00327E86"/>
    <w:rsid w:val="00396063"/>
    <w:rsid w:val="003C77EA"/>
    <w:rsid w:val="003E3623"/>
    <w:rsid w:val="00442855"/>
    <w:rsid w:val="00461793"/>
    <w:rsid w:val="005A3B78"/>
    <w:rsid w:val="006B0A4D"/>
    <w:rsid w:val="006E2D0A"/>
    <w:rsid w:val="00702393"/>
    <w:rsid w:val="00722D19"/>
    <w:rsid w:val="008223EB"/>
    <w:rsid w:val="008A7236"/>
    <w:rsid w:val="008E7DF6"/>
    <w:rsid w:val="0091354D"/>
    <w:rsid w:val="00940023"/>
    <w:rsid w:val="0094655E"/>
    <w:rsid w:val="009B2F44"/>
    <w:rsid w:val="009E6904"/>
    <w:rsid w:val="00A14611"/>
    <w:rsid w:val="00A23573"/>
    <w:rsid w:val="00A45B15"/>
    <w:rsid w:val="00A81D5F"/>
    <w:rsid w:val="00B31BDB"/>
    <w:rsid w:val="00BD7730"/>
    <w:rsid w:val="00C037E8"/>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B13B4"/>
    <w:rPr>
      <w:color w:val="0563C1" w:themeColor="hyperlink"/>
      <w:u w:val="single"/>
    </w:rPr>
  </w:style>
  <w:style w:type="character" w:styleId="ab">
    <w:name w:val="Unresolved Mention"/>
    <w:basedOn w:val="a0"/>
    <w:uiPriority w:val="99"/>
    <w:semiHidden/>
    <w:unhideWhenUsed/>
    <w:rsid w:val="002B1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757</Words>
  <Characters>4319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2021-12-06T16:21:00Z</dcterms:modified>
</cp:coreProperties>
</file>