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05A49" w14:textId="35FB9E63" w:rsidR="004A7EA7" w:rsidRPr="007630CE" w:rsidRDefault="007630CE" w:rsidP="007630CE">
      <w:pPr>
        <w:jc w:val="center"/>
        <w:rPr>
          <w:rFonts w:ascii="Times New Roman" w:hAnsi="Times New Roman" w:cs="Times New Roman"/>
          <w:b/>
          <w:bCs/>
          <w:sz w:val="24"/>
          <w:szCs w:val="24"/>
        </w:rPr>
      </w:pPr>
      <w:r w:rsidRPr="007630CE">
        <w:rPr>
          <w:rFonts w:ascii="Times New Roman" w:hAnsi="Times New Roman" w:cs="Times New Roman"/>
          <w:b/>
          <w:bCs/>
          <w:sz w:val="24"/>
          <w:szCs w:val="24"/>
        </w:rPr>
        <w:t>Приобретение права собственности в отношении государственного имущества в порядке приобретательной давности исключается</w:t>
      </w:r>
    </w:p>
    <w:p w14:paraId="58C01E3A" w14:textId="77777777" w:rsidR="004F174A" w:rsidRDefault="00811385" w:rsidP="004F174A">
      <w:pPr>
        <w:ind w:firstLine="720"/>
        <w:jc w:val="both"/>
        <w:rPr>
          <w:rFonts w:ascii="Times New Roman" w:hAnsi="Times New Roman" w:cs="Times New Roman"/>
          <w:sz w:val="24"/>
          <w:szCs w:val="24"/>
        </w:rPr>
      </w:pPr>
      <w:r w:rsidRPr="004F174A">
        <w:rPr>
          <w:rFonts w:ascii="Times New Roman" w:hAnsi="Times New Roman" w:cs="Times New Roman"/>
          <w:sz w:val="24"/>
          <w:szCs w:val="24"/>
        </w:rPr>
        <w:t xml:space="preserve">Приобретение права собственности в отношении государственного имущества в порядке приобретательной давности исключается. Это следует из позиции законодателя при разработке Закона «О государственном имуществе». Так, при подготовке проекта этого закона одним из оснований прекращения имущественных прав государства (Республики Казахстан или административно-территориальной единицы) была указана и приобретательная давность, однако в последующем это предложение в самом законе не было закреплено. Как уже было указано, иск о признании права собственности в силу приобретательной давности может быть предъявлен только в отношении вещи, которая введена в гражданский оборот. </w:t>
      </w:r>
    </w:p>
    <w:p w14:paraId="0AA4D605" w14:textId="725F739E" w:rsidR="004F174A" w:rsidRDefault="00811385" w:rsidP="004F174A">
      <w:pPr>
        <w:ind w:firstLine="720"/>
        <w:jc w:val="both"/>
        <w:rPr>
          <w:rFonts w:ascii="Times New Roman" w:hAnsi="Times New Roman" w:cs="Times New Roman"/>
          <w:sz w:val="24"/>
          <w:szCs w:val="24"/>
        </w:rPr>
      </w:pPr>
      <w:r w:rsidRPr="004F174A">
        <w:rPr>
          <w:rFonts w:ascii="Times New Roman" w:hAnsi="Times New Roman" w:cs="Times New Roman"/>
          <w:sz w:val="24"/>
          <w:szCs w:val="24"/>
        </w:rPr>
        <w:t xml:space="preserve">Недвижимое имущество считается введенным в гражданский оборот, если данные о нем содержатся в правовом кадастре. Это правило следует из положений подпункта 6) статьи 1 Закона от 26 июля 2007 года № 310 «О государственной регистрации прав на недвижимое имущество», согласно которому </w:t>
      </w:r>
      <w:hyperlink r:id="rId6" w:history="1">
        <w:r w:rsidRPr="00457FF0">
          <w:rPr>
            <w:rStyle w:val="aa"/>
            <w:rFonts w:ascii="Times New Roman" w:hAnsi="Times New Roman" w:cs="Times New Roman"/>
            <w:sz w:val="24"/>
            <w:szCs w:val="24"/>
          </w:rPr>
          <w:t>государственная регистрация прав на недвижимое имущество</w:t>
        </w:r>
      </w:hyperlink>
      <w:r w:rsidRPr="004F174A">
        <w:rPr>
          <w:rFonts w:ascii="Times New Roman" w:hAnsi="Times New Roman" w:cs="Times New Roman"/>
          <w:sz w:val="24"/>
          <w:szCs w:val="24"/>
        </w:rPr>
        <w:t xml:space="preserve"> – это обязательная процедура признания и подтверждения государством возникновения, изменения или прекращения прав на недвижимое имущество. Поскольку в гражданском праве переход права собственности на недвижимое имущество обусловлен государственной регистрацией прав на него, собственник недвижимой вещи практически заведомо известен. </w:t>
      </w:r>
    </w:p>
    <w:p w14:paraId="25B8F8F2" w14:textId="77777777" w:rsidR="004F174A" w:rsidRDefault="00811385" w:rsidP="004F174A">
      <w:pPr>
        <w:ind w:firstLine="720"/>
        <w:jc w:val="both"/>
        <w:rPr>
          <w:rFonts w:ascii="Times New Roman" w:hAnsi="Times New Roman" w:cs="Times New Roman"/>
          <w:sz w:val="24"/>
          <w:szCs w:val="24"/>
        </w:rPr>
      </w:pPr>
      <w:r w:rsidRPr="004F174A">
        <w:rPr>
          <w:rFonts w:ascii="Times New Roman" w:hAnsi="Times New Roman" w:cs="Times New Roman"/>
          <w:sz w:val="24"/>
          <w:szCs w:val="24"/>
        </w:rPr>
        <w:t xml:space="preserve">Следует иметь в виду, что правило о государственной регистрации прав на недвижимое имущество действовало и в Гражданском кодексе Казахской ССР. Так, право собственности на жилой дом, строение, находящиеся в городе или рабочем поселке должно было быть зарегистрировано в исполнительном комитете местного Совета народных депутатов. На практике это осуществляло бюро технической инвентаризации (БТИ). Если же названные объекты находились в сельском населенном пункте, то регистрация производилась в исполнительном комитете сельского (аульного) Совета народных депутатов. Вместе с тем имеют место случаи, когда в правовом кадастре данные об объекте недвижимости отсутствуют. Возможно, что причинами этого могут быть недостатки в работе регистрирующих органов, а в отношении жилища, возведенного до 1991 года, отсутствие государственной регистрации может означать, что это жилище принадлежит государственному жилищному фонду. </w:t>
      </w:r>
    </w:p>
    <w:p w14:paraId="78DEDE99" w14:textId="77777777" w:rsidR="004F174A" w:rsidRDefault="00811385" w:rsidP="004F174A">
      <w:pPr>
        <w:ind w:firstLine="720"/>
        <w:jc w:val="both"/>
        <w:rPr>
          <w:rFonts w:ascii="Times New Roman" w:hAnsi="Times New Roman" w:cs="Times New Roman"/>
          <w:sz w:val="24"/>
          <w:szCs w:val="24"/>
        </w:rPr>
      </w:pPr>
      <w:r w:rsidRPr="004F174A">
        <w:rPr>
          <w:rFonts w:ascii="Times New Roman" w:hAnsi="Times New Roman" w:cs="Times New Roman"/>
          <w:sz w:val="24"/>
          <w:szCs w:val="24"/>
        </w:rPr>
        <w:t xml:space="preserve">В случае, когда отсутствие в правом кадастре сведений о регистрации прав государства на недвижимое имущество было обусловлено ненадлежащим исполнением государственными органами </w:t>
      </w:r>
      <w:proofErr w:type="gramStart"/>
      <w:r w:rsidRPr="004F174A">
        <w:rPr>
          <w:rFonts w:ascii="Times New Roman" w:hAnsi="Times New Roman" w:cs="Times New Roman"/>
          <w:sz w:val="24"/>
          <w:szCs w:val="24"/>
        </w:rPr>
        <w:t>или  должностными</w:t>
      </w:r>
      <w:proofErr w:type="gramEnd"/>
      <w:r w:rsidRPr="004F174A">
        <w:rPr>
          <w:rFonts w:ascii="Times New Roman" w:hAnsi="Times New Roman" w:cs="Times New Roman"/>
          <w:sz w:val="24"/>
          <w:szCs w:val="24"/>
        </w:rPr>
        <w:t xml:space="preserve"> лицами возложенных на них задач, судам следует руководствоваться положениями статьи 84 Закона «О государственном имуществе», согласно которой государство не может отказаться от прав на принадлежащее ему имущество. Отказ государственных органов, их представителей и должностных лиц от права государства на государственное имущество является недействительным. </w:t>
      </w:r>
    </w:p>
    <w:p w14:paraId="5BE9FE90" w14:textId="77777777" w:rsidR="004F174A" w:rsidRDefault="00811385" w:rsidP="004F174A">
      <w:pPr>
        <w:ind w:firstLine="720"/>
        <w:jc w:val="both"/>
        <w:rPr>
          <w:rFonts w:ascii="Times New Roman" w:hAnsi="Times New Roman" w:cs="Times New Roman"/>
          <w:sz w:val="24"/>
          <w:szCs w:val="24"/>
        </w:rPr>
      </w:pPr>
      <w:r w:rsidRPr="004F174A">
        <w:rPr>
          <w:rFonts w:ascii="Times New Roman" w:hAnsi="Times New Roman" w:cs="Times New Roman"/>
          <w:sz w:val="24"/>
          <w:szCs w:val="24"/>
        </w:rPr>
        <w:t xml:space="preserve">Иное применение института приобретательной давности имеет место в законодательстве Российской Федерации. Так, из содержания пункта 16 постановления Пленума Верховного Суда Российской Федерации и Пленума Высшего Арбитражного Суда Российской Федерации от 29 апреля 2010 года № 10/22 «О некоторых вопросах, возникающих в судебной практике при разрешении споров, связанных с защитой права собственности и других вещных прав» следует, что приобретательная давность распространяется и на государственное имущество. </w:t>
      </w:r>
    </w:p>
    <w:p w14:paraId="00379CCD" w14:textId="78F59501" w:rsidR="00A81D5F" w:rsidRPr="004F174A" w:rsidRDefault="00811385" w:rsidP="004F174A">
      <w:pPr>
        <w:ind w:firstLine="720"/>
        <w:jc w:val="both"/>
        <w:rPr>
          <w:rFonts w:ascii="Times New Roman" w:hAnsi="Times New Roman" w:cs="Times New Roman"/>
          <w:sz w:val="24"/>
          <w:szCs w:val="24"/>
        </w:rPr>
      </w:pPr>
      <w:r w:rsidRPr="004F174A">
        <w:rPr>
          <w:rFonts w:ascii="Times New Roman" w:hAnsi="Times New Roman" w:cs="Times New Roman"/>
          <w:sz w:val="24"/>
          <w:szCs w:val="24"/>
        </w:rPr>
        <w:lastRenderedPageBreak/>
        <w:t xml:space="preserve">По делу по иску А. судом № 2 города Петропавловск принято решение об отказе в иске о признании права собственности в силу приобретательной давности в отношении квартиры, на которую в правовом кадастре отсутствовали зарегистрированные права. По делу установлено, что квартира предоставлена семье истца в 1993 году на основании ордера городского Совета народных депутатов. </w:t>
      </w:r>
      <w:hyperlink r:id="rId7" w:history="1">
        <w:r w:rsidRPr="004F174A">
          <w:rPr>
            <w:rStyle w:val="aa"/>
            <w:rFonts w:ascii="Times New Roman" w:hAnsi="Times New Roman" w:cs="Times New Roman"/>
            <w:sz w:val="24"/>
            <w:szCs w:val="24"/>
          </w:rPr>
          <w:t>Отказ суда в удовлетворении иска правомерен, так</w:t>
        </w:r>
      </w:hyperlink>
      <w:r w:rsidRPr="004F174A">
        <w:rPr>
          <w:rFonts w:ascii="Times New Roman" w:hAnsi="Times New Roman" w:cs="Times New Roman"/>
          <w:sz w:val="24"/>
          <w:szCs w:val="24"/>
        </w:rPr>
        <w:t xml:space="preserve"> как истец является нанимателем жилья из государственного жилищного фонда и вправе получить квартиру в собственность путем ее приватизации.</w:t>
      </w:r>
      <w:r w:rsidR="00CF5BD5" w:rsidRPr="004F174A">
        <w:rPr>
          <w:rFonts w:ascii="Times New Roman" w:hAnsi="Times New Roman" w:cs="Times New Roman"/>
          <w:sz w:val="24"/>
          <w:szCs w:val="24"/>
        </w:rPr>
        <w:t xml:space="preserve"> </w:t>
      </w:r>
    </w:p>
    <w:p w14:paraId="7EA7FA65" w14:textId="0D3DEF47" w:rsidR="00F173BA" w:rsidRPr="004F174A" w:rsidRDefault="00F173BA" w:rsidP="002570B0">
      <w:pPr>
        <w:rPr>
          <w:rFonts w:ascii="Times New Roman" w:hAnsi="Times New Roman" w:cs="Times New Roman"/>
          <w:sz w:val="24"/>
          <w:szCs w:val="24"/>
        </w:rPr>
      </w:pPr>
    </w:p>
    <w:p w14:paraId="1C113091" w14:textId="5A80DFE0" w:rsidR="00F173BA" w:rsidRPr="004F174A" w:rsidRDefault="00F173BA" w:rsidP="002570B0">
      <w:pPr>
        <w:rPr>
          <w:rFonts w:ascii="Times New Roman" w:hAnsi="Times New Roman" w:cs="Times New Roman"/>
          <w:sz w:val="24"/>
          <w:szCs w:val="24"/>
        </w:rPr>
      </w:pPr>
    </w:p>
    <w:p w14:paraId="1D196CDE" w14:textId="737247FA" w:rsidR="00F173BA" w:rsidRPr="004F174A" w:rsidRDefault="00F173BA" w:rsidP="002570B0">
      <w:pPr>
        <w:rPr>
          <w:rFonts w:ascii="Times New Roman" w:hAnsi="Times New Roman" w:cs="Times New Roman"/>
          <w:sz w:val="24"/>
          <w:szCs w:val="24"/>
        </w:rPr>
      </w:pPr>
    </w:p>
    <w:p w14:paraId="02403F08" w14:textId="75BEB719" w:rsidR="00F173BA" w:rsidRPr="004F174A" w:rsidRDefault="00F173BA" w:rsidP="002570B0">
      <w:pPr>
        <w:rPr>
          <w:rFonts w:ascii="Times New Roman" w:hAnsi="Times New Roman" w:cs="Times New Roman"/>
          <w:sz w:val="24"/>
          <w:szCs w:val="24"/>
        </w:rPr>
      </w:pPr>
    </w:p>
    <w:p w14:paraId="308325D5" w14:textId="324F2E94" w:rsidR="00F173BA" w:rsidRPr="004F174A" w:rsidRDefault="00F173BA" w:rsidP="002570B0">
      <w:pPr>
        <w:rPr>
          <w:rFonts w:ascii="Times New Roman" w:hAnsi="Times New Roman" w:cs="Times New Roman"/>
          <w:sz w:val="24"/>
          <w:szCs w:val="24"/>
        </w:rPr>
      </w:pPr>
    </w:p>
    <w:p w14:paraId="22BAA135" w14:textId="6CC745FE" w:rsidR="00F173BA" w:rsidRPr="004F174A" w:rsidRDefault="00F173BA" w:rsidP="002570B0">
      <w:pPr>
        <w:rPr>
          <w:rFonts w:ascii="Times New Roman" w:hAnsi="Times New Roman" w:cs="Times New Roman"/>
          <w:sz w:val="24"/>
          <w:szCs w:val="24"/>
        </w:rPr>
      </w:pPr>
    </w:p>
    <w:p w14:paraId="33D51603" w14:textId="10BA4AEF" w:rsidR="00F173BA" w:rsidRPr="004F174A" w:rsidRDefault="00F173BA" w:rsidP="002570B0">
      <w:pPr>
        <w:rPr>
          <w:rFonts w:ascii="Times New Roman" w:hAnsi="Times New Roman" w:cs="Times New Roman"/>
          <w:sz w:val="24"/>
          <w:szCs w:val="24"/>
        </w:rPr>
      </w:pPr>
    </w:p>
    <w:p w14:paraId="55D95E22" w14:textId="0EFD17BF" w:rsidR="00F173BA" w:rsidRPr="004F174A" w:rsidRDefault="00F173BA" w:rsidP="002570B0">
      <w:pPr>
        <w:rPr>
          <w:rFonts w:ascii="Times New Roman" w:hAnsi="Times New Roman" w:cs="Times New Roman"/>
          <w:sz w:val="24"/>
          <w:szCs w:val="24"/>
        </w:rPr>
      </w:pPr>
    </w:p>
    <w:p w14:paraId="1E84A240" w14:textId="61513D00" w:rsidR="00F173BA" w:rsidRPr="004F174A" w:rsidRDefault="00F173BA" w:rsidP="002570B0">
      <w:pPr>
        <w:rPr>
          <w:rFonts w:ascii="Times New Roman" w:hAnsi="Times New Roman" w:cs="Times New Roman"/>
          <w:sz w:val="24"/>
          <w:szCs w:val="24"/>
        </w:rPr>
      </w:pPr>
    </w:p>
    <w:p w14:paraId="049E1B58" w14:textId="408BB97D" w:rsidR="00F173BA" w:rsidRPr="004F174A" w:rsidRDefault="00F173BA" w:rsidP="002570B0">
      <w:pPr>
        <w:rPr>
          <w:rFonts w:ascii="Times New Roman" w:hAnsi="Times New Roman" w:cs="Times New Roman"/>
          <w:sz w:val="24"/>
          <w:szCs w:val="24"/>
        </w:rPr>
      </w:pPr>
    </w:p>
    <w:p w14:paraId="3F19C72F" w14:textId="49CAEBA5" w:rsidR="00F173BA" w:rsidRPr="004F174A" w:rsidRDefault="00F173BA" w:rsidP="00F173BA">
      <w:pPr>
        <w:tabs>
          <w:tab w:val="left" w:pos="6948"/>
        </w:tabs>
        <w:rPr>
          <w:rFonts w:ascii="Times New Roman" w:hAnsi="Times New Roman" w:cs="Times New Roman"/>
          <w:sz w:val="24"/>
          <w:szCs w:val="24"/>
        </w:rPr>
      </w:pPr>
      <w:r w:rsidRPr="004F174A">
        <w:rPr>
          <w:rFonts w:ascii="Times New Roman" w:hAnsi="Times New Roman" w:cs="Times New Roman"/>
          <w:sz w:val="24"/>
          <w:szCs w:val="24"/>
        </w:rPr>
        <w:tab/>
      </w:r>
    </w:p>
    <w:sectPr w:rsidR="00F173BA" w:rsidRPr="004F174A"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C9689" w14:textId="77777777" w:rsidR="00984CC0" w:rsidRDefault="00984CC0" w:rsidP="00702393">
      <w:pPr>
        <w:spacing w:after="0" w:line="240" w:lineRule="auto"/>
      </w:pPr>
      <w:r>
        <w:separator/>
      </w:r>
    </w:p>
  </w:endnote>
  <w:endnote w:type="continuationSeparator" w:id="0">
    <w:p w14:paraId="07205683" w14:textId="77777777" w:rsidR="00984CC0" w:rsidRDefault="00984CC0"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B99DF" w14:textId="77777777" w:rsidR="00984CC0" w:rsidRDefault="00984CC0" w:rsidP="00702393">
      <w:pPr>
        <w:spacing w:after="0" w:line="240" w:lineRule="auto"/>
      </w:pPr>
      <w:r>
        <w:separator/>
      </w:r>
    </w:p>
  </w:footnote>
  <w:footnote w:type="continuationSeparator" w:id="0">
    <w:p w14:paraId="4B450A4F" w14:textId="77777777" w:rsidR="00984CC0" w:rsidRDefault="00984CC0"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2570B0"/>
    <w:rsid w:val="002A1A72"/>
    <w:rsid w:val="002B659E"/>
    <w:rsid w:val="00315990"/>
    <w:rsid w:val="00327D34"/>
    <w:rsid w:val="00327E86"/>
    <w:rsid w:val="00396063"/>
    <w:rsid w:val="003C77EA"/>
    <w:rsid w:val="003E3623"/>
    <w:rsid w:val="00442855"/>
    <w:rsid w:val="00457FF0"/>
    <w:rsid w:val="00461793"/>
    <w:rsid w:val="004A7EA7"/>
    <w:rsid w:val="004F174A"/>
    <w:rsid w:val="005A3B78"/>
    <w:rsid w:val="006B0A4D"/>
    <w:rsid w:val="006E2D0A"/>
    <w:rsid w:val="00702393"/>
    <w:rsid w:val="00722D19"/>
    <w:rsid w:val="007630CE"/>
    <w:rsid w:val="00811385"/>
    <w:rsid w:val="008A7236"/>
    <w:rsid w:val="008E7DF6"/>
    <w:rsid w:val="0091354D"/>
    <w:rsid w:val="00940023"/>
    <w:rsid w:val="0094655E"/>
    <w:rsid w:val="00984CC0"/>
    <w:rsid w:val="009E6904"/>
    <w:rsid w:val="00A23573"/>
    <w:rsid w:val="00A45B15"/>
    <w:rsid w:val="00A81D5F"/>
    <w:rsid w:val="00B31BDB"/>
    <w:rsid w:val="00BD7730"/>
    <w:rsid w:val="00C16D9C"/>
    <w:rsid w:val="00CB275A"/>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4F174A"/>
    <w:rPr>
      <w:color w:val="0563C1" w:themeColor="hyperlink"/>
      <w:u w:val="single"/>
    </w:rPr>
  </w:style>
  <w:style w:type="character" w:styleId="ab">
    <w:name w:val="Unresolved Mention"/>
    <w:basedOn w:val="a0"/>
    <w:uiPriority w:val="99"/>
    <w:semiHidden/>
    <w:unhideWhenUsed/>
    <w:rsid w:val="004F17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stagram.com/zakonpravo.kz/?hl=r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2</Pages>
  <Words>617</Words>
  <Characters>3519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36</cp:revision>
  <cp:lastPrinted>2021-08-17T09:04:00Z</cp:lastPrinted>
  <dcterms:created xsi:type="dcterms:W3CDTF">2021-08-13T09:00:00Z</dcterms:created>
  <dcterms:modified xsi:type="dcterms:W3CDTF">2021-12-05T11:12:00Z</dcterms:modified>
</cp:coreProperties>
</file>