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B2112" w14:textId="5CA96E95" w:rsidR="002F4C04" w:rsidRPr="003D162D" w:rsidRDefault="00E16F63" w:rsidP="003D162D">
      <w:pPr>
        <w:jc w:val="center"/>
        <w:rPr>
          <w:rFonts w:ascii="Times New Roman" w:hAnsi="Times New Roman" w:cs="Times New Roman"/>
          <w:b/>
          <w:bCs/>
          <w:sz w:val="24"/>
          <w:szCs w:val="24"/>
        </w:rPr>
      </w:pPr>
      <w:r>
        <w:rPr>
          <w:rFonts w:ascii="Times New Roman" w:hAnsi="Times New Roman" w:cs="Times New Roman"/>
          <w:b/>
          <w:bCs/>
          <w:sz w:val="24"/>
          <w:szCs w:val="24"/>
        </w:rPr>
        <w:t>Д</w:t>
      </w:r>
      <w:r w:rsidR="008E06AE" w:rsidRPr="003D162D">
        <w:rPr>
          <w:rFonts w:ascii="Times New Roman" w:hAnsi="Times New Roman" w:cs="Times New Roman"/>
          <w:b/>
          <w:bCs/>
          <w:sz w:val="24"/>
          <w:szCs w:val="24"/>
        </w:rPr>
        <w:t>обыч</w:t>
      </w:r>
      <w:r>
        <w:rPr>
          <w:rFonts w:ascii="Times New Roman" w:hAnsi="Times New Roman" w:cs="Times New Roman"/>
          <w:b/>
          <w:bCs/>
          <w:sz w:val="24"/>
          <w:szCs w:val="24"/>
        </w:rPr>
        <w:t>а</w:t>
      </w:r>
      <w:r w:rsidR="008E06AE" w:rsidRPr="003D162D">
        <w:rPr>
          <w:rFonts w:ascii="Times New Roman" w:hAnsi="Times New Roman" w:cs="Times New Roman"/>
          <w:b/>
          <w:bCs/>
          <w:sz w:val="24"/>
          <w:szCs w:val="24"/>
        </w:rPr>
        <w:t xml:space="preserve"> полезных ископаемых является основанием для перехода исчисления КПН в общеустановленном порядке с отражением доходов в совокупном годовом доходе и расходов согласно их классификации в бухгалтерском учете.</w:t>
      </w:r>
    </w:p>
    <w:p w14:paraId="5F3EB445" w14:textId="77777777" w:rsidR="002F4C04" w:rsidRPr="003D162D" w:rsidRDefault="002F4C04" w:rsidP="00A81D5F">
      <w:pPr>
        <w:jc w:val="both"/>
        <w:rPr>
          <w:rFonts w:ascii="Times New Roman" w:hAnsi="Times New Roman" w:cs="Times New Roman"/>
          <w:sz w:val="24"/>
          <w:szCs w:val="24"/>
        </w:rPr>
      </w:pPr>
    </w:p>
    <w:p w14:paraId="3E6C6114" w14:textId="77777777" w:rsidR="003D162D" w:rsidRDefault="002F4C04" w:rsidP="003D162D">
      <w:pPr>
        <w:ind w:firstLine="720"/>
        <w:jc w:val="both"/>
        <w:rPr>
          <w:rFonts w:ascii="Times New Roman" w:hAnsi="Times New Roman" w:cs="Times New Roman"/>
          <w:sz w:val="24"/>
          <w:szCs w:val="24"/>
        </w:rPr>
      </w:pPr>
      <w:r w:rsidRPr="003D162D">
        <w:rPr>
          <w:rFonts w:ascii="Times New Roman" w:hAnsi="Times New Roman" w:cs="Times New Roman"/>
          <w:sz w:val="24"/>
          <w:szCs w:val="24"/>
        </w:rPr>
        <w:t xml:space="preserve">По результатам проверок основанием для начисления сумм КПН либо корректировки убытков по КПН является неправильное определение налогоплательщиком момента начала добычи полезных ископаемых. Так, ТОО «С» оспорило выводы налогового органа об определении момента начала добычи полезных ископаемых. В соответствии со статьей 111 Налогового кодекса расходы, фактически произведенные недропользователем до момента начала добычи после коммерческого обнаружения, на геологическое изучение, разведку, подготовительные работы к добыче полезных ископаемых, включая расходы по оценке, обустройству, общие административные расходы, суммы выплаченного подписного бонуса и бонуса коммерческого обнаружения, затраты по приобретению и (или) созданию основных средств и нематериальных активов, и иные расходы, подлежащие вычету в соответствии с настоящим Кодексом, образуют отдельную группу амортизируемых активов. </w:t>
      </w:r>
    </w:p>
    <w:p w14:paraId="2F33E1B0" w14:textId="5A02124F" w:rsidR="003D162D" w:rsidRDefault="002F4C04" w:rsidP="003D162D">
      <w:pPr>
        <w:ind w:firstLine="720"/>
        <w:jc w:val="both"/>
        <w:rPr>
          <w:rFonts w:ascii="Times New Roman" w:hAnsi="Times New Roman" w:cs="Times New Roman"/>
          <w:sz w:val="24"/>
          <w:szCs w:val="24"/>
        </w:rPr>
      </w:pPr>
      <w:r w:rsidRPr="003D162D">
        <w:rPr>
          <w:rFonts w:ascii="Times New Roman" w:hAnsi="Times New Roman" w:cs="Times New Roman"/>
          <w:sz w:val="24"/>
          <w:szCs w:val="24"/>
        </w:rPr>
        <w:t xml:space="preserve">Для целей настоящей статьи и статьи 111-1 Налогового кодекса добыча после коммерческого обнаружения означает по контрактам на разведку, а также на совмещенную разведку и добычу с неутвержденными запасами полезных ископаемых – начало добычи полезных ископаемых после утверждения запасов уполномоченным для этих целей государственным органом Республики </w:t>
      </w:r>
      <w:hyperlink r:id="rId6" w:history="1">
        <w:r w:rsidRPr="00020474">
          <w:rPr>
            <w:rStyle w:val="aa"/>
            <w:rFonts w:ascii="Times New Roman" w:hAnsi="Times New Roman" w:cs="Times New Roman"/>
            <w:sz w:val="24"/>
            <w:szCs w:val="24"/>
          </w:rPr>
          <w:t>Казахстан. Согласно обжалуемому уведомлению</w:t>
        </w:r>
      </w:hyperlink>
      <w:r w:rsidRPr="003D162D">
        <w:rPr>
          <w:rFonts w:ascii="Times New Roman" w:hAnsi="Times New Roman" w:cs="Times New Roman"/>
          <w:sz w:val="24"/>
          <w:szCs w:val="24"/>
        </w:rPr>
        <w:t xml:space="preserve"> момент начала добычи после коммерческого обнаружения определен с даты вынесения протокола Государственной комиссии по запасам полезных ископаемых РК (далее – ГКЗ) № 585-07-П от 10 апреля 2007 года, которым принят прирост начальных запасов нефти и газа месторождения Восточный </w:t>
      </w:r>
      <w:proofErr w:type="spellStart"/>
      <w:r w:rsidRPr="003D162D">
        <w:rPr>
          <w:rFonts w:ascii="Times New Roman" w:hAnsi="Times New Roman" w:cs="Times New Roman"/>
          <w:sz w:val="24"/>
          <w:szCs w:val="24"/>
        </w:rPr>
        <w:t>Макат</w:t>
      </w:r>
      <w:proofErr w:type="spellEnd"/>
      <w:r w:rsidRPr="003D162D">
        <w:rPr>
          <w:rFonts w:ascii="Times New Roman" w:hAnsi="Times New Roman" w:cs="Times New Roman"/>
          <w:sz w:val="24"/>
          <w:szCs w:val="24"/>
        </w:rPr>
        <w:t xml:space="preserve"> в пределах дополнительных площадей продуктивности, определенных в результате геологических работ, проведенных товариществом. </w:t>
      </w:r>
    </w:p>
    <w:p w14:paraId="078DB866" w14:textId="77777777" w:rsidR="003D162D" w:rsidRDefault="002F4C04" w:rsidP="003D162D">
      <w:pPr>
        <w:ind w:firstLine="720"/>
        <w:jc w:val="both"/>
        <w:rPr>
          <w:rFonts w:ascii="Times New Roman" w:hAnsi="Times New Roman" w:cs="Times New Roman"/>
          <w:sz w:val="24"/>
          <w:szCs w:val="24"/>
        </w:rPr>
      </w:pPr>
      <w:r w:rsidRPr="003D162D">
        <w:rPr>
          <w:rFonts w:ascii="Times New Roman" w:hAnsi="Times New Roman" w:cs="Times New Roman"/>
          <w:sz w:val="24"/>
          <w:szCs w:val="24"/>
        </w:rPr>
        <w:t xml:space="preserve">Товарищество же определило момент начала добычи полезных ископаемых после коммерческого обнаружения с даты вынесения протокола ГКЗ </w:t>
      </w:r>
      <w:proofErr w:type="gramStart"/>
      <w:r w:rsidRPr="003D162D">
        <w:rPr>
          <w:rFonts w:ascii="Times New Roman" w:hAnsi="Times New Roman" w:cs="Times New Roman"/>
          <w:sz w:val="24"/>
          <w:szCs w:val="24"/>
        </w:rPr>
        <w:t>№ 986-10</w:t>
      </w:r>
      <w:proofErr w:type="gramEnd"/>
      <w:r w:rsidRPr="003D162D">
        <w:rPr>
          <w:rFonts w:ascii="Times New Roman" w:hAnsi="Times New Roman" w:cs="Times New Roman"/>
          <w:sz w:val="24"/>
          <w:szCs w:val="24"/>
        </w:rPr>
        <w:t xml:space="preserve">-У от 29 октября 2010 года об утверждении запасов нефти и газа по месторождению Жана </w:t>
      </w:r>
      <w:proofErr w:type="spellStart"/>
      <w:r w:rsidRPr="003D162D">
        <w:rPr>
          <w:rFonts w:ascii="Times New Roman" w:hAnsi="Times New Roman" w:cs="Times New Roman"/>
          <w:sz w:val="24"/>
          <w:szCs w:val="24"/>
        </w:rPr>
        <w:t>Макат</w:t>
      </w:r>
      <w:proofErr w:type="spellEnd"/>
      <w:r w:rsidRPr="003D162D">
        <w:rPr>
          <w:rFonts w:ascii="Times New Roman" w:hAnsi="Times New Roman" w:cs="Times New Roman"/>
          <w:sz w:val="24"/>
          <w:szCs w:val="24"/>
        </w:rPr>
        <w:t xml:space="preserve">. Удовлетворяя частично требования заявителя, суд первой инстанции пришел к выводу, что запасы полезных ископаемых по контрактной территории заявителя были утверждены протоколом ГКЗ </w:t>
      </w:r>
      <w:proofErr w:type="gramStart"/>
      <w:r w:rsidRPr="003D162D">
        <w:rPr>
          <w:rFonts w:ascii="Times New Roman" w:hAnsi="Times New Roman" w:cs="Times New Roman"/>
          <w:sz w:val="24"/>
          <w:szCs w:val="24"/>
        </w:rPr>
        <w:t>№ 959-10</w:t>
      </w:r>
      <w:proofErr w:type="gramEnd"/>
      <w:r w:rsidRPr="003D162D">
        <w:rPr>
          <w:rFonts w:ascii="Times New Roman" w:hAnsi="Times New Roman" w:cs="Times New Roman"/>
          <w:sz w:val="24"/>
          <w:szCs w:val="24"/>
        </w:rPr>
        <w:t xml:space="preserve">-У от 27 августа 2010 года. Следовательно, корректировка убытков должна быть произведена с указанной даты. Специализированная судебная коллегия не согласилась с выводами суда первой инстанции по следующим основаниям. </w:t>
      </w:r>
    </w:p>
    <w:p w14:paraId="730AB47D" w14:textId="77777777" w:rsidR="003D162D" w:rsidRDefault="002F4C04" w:rsidP="003D162D">
      <w:pPr>
        <w:ind w:firstLine="720"/>
        <w:jc w:val="both"/>
        <w:rPr>
          <w:rFonts w:ascii="Times New Roman" w:hAnsi="Times New Roman" w:cs="Times New Roman"/>
          <w:sz w:val="24"/>
          <w:szCs w:val="24"/>
        </w:rPr>
      </w:pPr>
      <w:r w:rsidRPr="003D162D">
        <w:rPr>
          <w:rFonts w:ascii="Times New Roman" w:hAnsi="Times New Roman" w:cs="Times New Roman"/>
          <w:sz w:val="24"/>
          <w:szCs w:val="24"/>
        </w:rPr>
        <w:t xml:space="preserve">В соответствии с пунктом 2 статьи 57 и пунктом 3 статьи 58 Закона «О недрах и недропользовании» в редакции от 27 января 1996 года, пунктов 3 и 5 Правил включения запасов полезных ископаемых в государственный баланс и их списания с государственного баланса, утвержденных постановлением Правительства Республики Казахстан от 14 августа 2006 года № 762, запасы полезных ископаемых, разведанных месторождений, подлежат государственной экспертизе, а добыча полезных ископаемых возможна только после проведения государственной экспертизы и дачи заключения, которое является основанием для их постановки на государственный учет, оформляемой в виде протокола ГКЗ. Коллегией установлено, что протоколом ГКЗ от 18 февраля 2005 года утверждены начальные геологические и извлекаемые запасы нефти и газа месторождения Восточный </w:t>
      </w:r>
      <w:proofErr w:type="spellStart"/>
      <w:r w:rsidRPr="003D162D">
        <w:rPr>
          <w:rFonts w:ascii="Times New Roman" w:hAnsi="Times New Roman" w:cs="Times New Roman"/>
          <w:sz w:val="24"/>
          <w:szCs w:val="24"/>
        </w:rPr>
        <w:t>Макат</w:t>
      </w:r>
      <w:proofErr w:type="spellEnd"/>
      <w:r w:rsidRPr="003D162D">
        <w:rPr>
          <w:rFonts w:ascii="Times New Roman" w:hAnsi="Times New Roman" w:cs="Times New Roman"/>
          <w:sz w:val="24"/>
          <w:szCs w:val="24"/>
        </w:rPr>
        <w:t xml:space="preserve"> с внесением в количествах и по категориям в Государственный баланс. </w:t>
      </w:r>
    </w:p>
    <w:p w14:paraId="30CCE663" w14:textId="77777777" w:rsidR="003D162D" w:rsidRDefault="002F4C04" w:rsidP="003D162D">
      <w:pPr>
        <w:ind w:firstLine="720"/>
        <w:jc w:val="both"/>
        <w:rPr>
          <w:rFonts w:ascii="Times New Roman" w:hAnsi="Times New Roman" w:cs="Times New Roman"/>
          <w:sz w:val="24"/>
          <w:szCs w:val="24"/>
        </w:rPr>
      </w:pPr>
      <w:r w:rsidRPr="003D162D">
        <w:rPr>
          <w:rFonts w:ascii="Times New Roman" w:hAnsi="Times New Roman" w:cs="Times New Roman"/>
          <w:sz w:val="24"/>
          <w:szCs w:val="24"/>
        </w:rPr>
        <w:lastRenderedPageBreak/>
        <w:t xml:space="preserve">Протоколом ГКЗ от 10 апреля 2007 года увеличены объемы запасов нефти и газа в целом по месторождению Восточный </w:t>
      </w:r>
      <w:proofErr w:type="spellStart"/>
      <w:r w:rsidRPr="003D162D">
        <w:rPr>
          <w:rFonts w:ascii="Times New Roman" w:hAnsi="Times New Roman" w:cs="Times New Roman"/>
          <w:sz w:val="24"/>
          <w:szCs w:val="24"/>
        </w:rPr>
        <w:t>Макат</w:t>
      </w:r>
      <w:proofErr w:type="spellEnd"/>
      <w:r w:rsidRPr="003D162D">
        <w:rPr>
          <w:rFonts w:ascii="Times New Roman" w:hAnsi="Times New Roman" w:cs="Times New Roman"/>
          <w:sz w:val="24"/>
          <w:szCs w:val="24"/>
        </w:rPr>
        <w:t xml:space="preserve"> (с учетом участка Жана </w:t>
      </w:r>
      <w:proofErr w:type="spellStart"/>
      <w:r w:rsidRPr="003D162D">
        <w:rPr>
          <w:rFonts w:ascii="Times New Roman" w:hAnsi="Times New Roman" w:cs="Times New Roman"/>
          <w:sz w:val="24"/>
          <w:szCs w:val="24"/>
        </w:rPr>
        <w:t>Макат</w:t>
      </w:r>
      <w:proofErr w:type="spellEnd"/>
      <w:r w:rsidRPr="003D162D">
        <w:rPr>
          <w:rFonts w:ascii="Times New Roman" w:hAnsi="Times New Roman" w:cs="Times New Roman"/>
          <w:sz w:val="24"/>
          <w:szCs w:val="24"/>
        </w:rPr>
        <w:t xml:space="preserve">) по двум контрактным территориям ПФ «Э» и ТОО «С», ранее утвержденные предыдущим протоколом ГКЗ, в результате проведения Товариществом разведочных работ. Протоколом ГКЗ от 27 августа 2010 года пересчитаны запасы по всему месторождению Восточный </w:t>
      </w:r>
      <w:proofErr w:type="spellStart"/>
      <w:r w:rsidRPr="003D162D">
        <w:rPr>
          <w:rFonts w:ascii="Times New Roman" w:hAnsi="Times New Roman" w:cs="Times New Roman"/>
          <w:sz w:val="24"/>
          <w:szCs w:val="24"/>
        </w:rPr>
        <w:t>Макат</w:t>
      </w:r>
      <w:proofErr w:type="spellEnd"/>
      <w:r w:rsidRPr="003D162D">
        <w:rPr>
          <w:rFonts w:ascii="Times New Roman" w:hAnsi="Times New Roman" w:cs="Times New Roman"/>
          <w:sz w:val="24"/>
          <w:szCs w:val="24"/>
        </w:rPr>
        <w:t xml:space="preserve">, в связи с тем, что на контрактной территории ПФ «Э» дополнительно пробурены 18 скважин, на контрактной территории ТОО «С» - 2 скважины. При этом в постановочной части протокола отсутствует указание о внесении изменений в Государственный баланс запасов. </w:t>
      </w:r>
    </w:p>
    <w:p w14:paraId="00379CCD" w14:textId="0C0C79F8" w:rsidR="00A81D5F" w:rsidRPr="003D162D" w:rsidRDefault="002F4C04" w:rsidP="003D162D">
      <w:pPr>
        <w:ind w:firstLine="720"/>
        <w:jc w:val="both"/>
        <w:rPr>
          <w:rFonts w:ascii="Times New Roman" w:hAnsi="Times New Roman" w:cs="Times New Roman"/>
          <w:sz w:val="24"/>
          <w:szCs w:val="24"/>
        </w:rPr>
      </w:pPr>
      <w:r w:rsidRPr="003D162D">
        <w:rPr>
          <w:rFonts w:ascii="Times New Roman" w:hAnsi="Times New Roman" w:cs="Times New Roman"/>
          <w:sz w:val="24"/>
          <w:szCs w:val="24"/>
        </w:rPr>
        <w:t xml:space="preserve">Протоколом ГКЗ от 29 октября 2010 года были разделены утвержденные запасы углеводородов месторождения Восточный </w:t>
      </w:r>
      <w:proofErr w:type="spellStart"/>
      <w:r w:rsidRPr="003D162D">
        <w:rPr>
          <w:rFonts w:ascii="Times New Roman" w:hAnsi="Times New Roman" w:cs="Times New Roman"/>
          <w:sz w:val="24"/>
          <w:szCs w:val="24"/>
        </w:rPr>
        <w:t>Макат</w:t>
      </w:r>
      <w:proofErr w:type="spellEnd"/>
      <w:r w:rsidRPr="003D162D">
        <w:rPr>
          <w:rFonts w:ascii="Times New Roman" w:hAnsi="Times New Roman" w:cs="Times New Roman"/>
          <w:sz w:val="24"/>
          <w:szCs w:val="24"/>
        </w:rPr>
        <w:t xml:space="preserve"> между двумя недропользователями ПФ «Э» и ТОО «С». Следовательно, протоколы ГКЗ 2010 года не могут быть взяты за основу для определения даты начала добычи после коммерческого обнаружения. Материалами дела подтверждены факты добычи </w:t>
      </w:r>
      <w:hyperlink r:id="rId7" w:history="1">
        <w:r w:rsidRPr="003D162D">
          <w:rPr>
            <w:rStyle w:val="aa"/>
            <w:rFonts w:ascii="Times New Roman" w:hAnsi="Times New Roman" w:cs="Times New Roman"/>
            <w:sz w:val="24"/>
            <w:szCs w:val="24"/>
          </w:rPr>
          <w:t>Товариществом с 2007 года запасов нефти, утвержденных для</w:t>
        </w:r>
      </w:hyperlink>
      <w:r w:rsidRPr="003D162D">
        <w:rPr>
          <w:rFonts w:ascii="Times New Roman" w:hAnsi="Times New Roman" w:cs="Times New Roman"/>
          <w:sz w:val="24"/>
          <w:szCs w:val="24"/>
        </w:rPr>
        <w:t xml:space="preserve"> ПФ АО «Э», а также добычи нефти в 2008, 2009 годы по объемам, идентичным после начала этапа промышленной эксплуатации (в 2012-2013 годы). В этой связи коллегия правильно признала выводы налогового органа об определении момента начала добычи после коммерческого обнаружения - с даты вынесения протокола ГКЗ от 10 апреля 2007 года.</w:t>
      </w:r>
      <w:r w:rsidR="00CF5BD5" w:rsidRPr="003D162D">
        <w:rPr>
          <w:rFonts w:ascii="Times New Roman" w:hAnsi="Times New Roman" w:cs="Times New Roman"/>
          <w:sz w:val="24"/>
          <w:szCs w:val="24"/>
        </w:rPr>
        <w:t xml:space="preserve"> </w:t>
      </w:r>
    </w:p>
    <w:p w14:paraId="7EA7FA65" w14:textId="0D3DEF47" w:rsidR="00F173BA" w:rsidRPr="003D162D" w:rsidRDefault="00F173BA" w:rsidP="002570B0">
      <w:pPr>
        <w:rPr>
          <w:rFonts w:ascii="Times New Roman" w:hAnsi="Times New Roman" w:cs="Times New Roman"/>
          <w:sz w:val="24"/>
          <w:szCs w:val="24"/>
        </w:rPr>
      </w:pPr>
    </w:p>
    <w:p w14:paraId="1C113091" w14:textId="5A80DFE0" w:rsidR="00F173BA" w:rsidRPr="003D162D" w:rsidRDefault="00F173BA" w:rsidP="002570B0">
      <w:pPr>
        <w:rPr>
          <w:rFonts w:ascii="Times New Roman" w:hAnsi="Times New Roman" w:cs="Times New Roman"/>
          <w:sz w:val="24"/>
          <w:szCs w:val="24"/>
        </w:rPr>
      </w:pPr>
    </w:p>
    <w:p w14:paraId="1D196CDE" w14:textId="737247FA" w:rsidR="00F173BA" w:rsidRPr="003D162D" w:rsidRDefault="00F173BA" w:rsidP="002570B0">
      <w:pPr>
        <w:rPr>
          <w:rFonts w:ascii="Times New Roman" w:hAnsi="Times New Roman" w:cs="Times New Roman"/>
          <w:sz w:val="24"/>
          <w:szCs w:val="24"/>
        </w:rPr>
      </w:pPr>
    </w:p>
    <w:p w14:paraId="02403F08" w14:textId="75BEB719" w:rsidR="00F173BA" w:rsidRPr="003D162D" w:rsidRDefault="00F173BA" w:rsidP="002570B0">
      <w:pPr>
        <w:rPr>
          <w:rFonts w:ascii="Times New Roman" w:hAnsi="Times New Roman" w:cs="Times New Roman"/>
          <w:sz w:val="24"/>
          <w:szCs w:val="24"/>
        </w:rPr>
      </w:pPr>
    </w:p>
    <w:p w14:paraId="308325D5" w14:textId="324F2E94" w:rsidR="00F173BA" w:rsidRPr="003D162D" w:rsidRDefault="00F173BA" w:rsidP="002570B0">
      <w:pPr>
        <w:rPr>
          <w:rFonts w:ascii="Times New Roman" w:hAnsi="Times New Roman" w:cs="Times New Roman"/>
          <w:sz w:val="24"/>
          <w:szCs w:val="24"/>
        </w:rPr>
      </w:pPr>
    </w:p>
    <w:p w14:paraId="22BAA135" w14:textId="6CC745FE" w:rsidR="00F173BA" w:rsidRPr="003D162D" w:rsidRDefault="00F173BA" w:rsidP="002570B0">
      <w:pPr>
        <w:rPr>
          <w:rFonts w:ascii="Times New Roman" w:hAnsi="Times New Roman" w:cs="Times New Roman"/>
          <w:sz w:val="24"/>
          <w:szCs w:val="24"/>
        </w:rPr>
      </w:pPr>
    </w:p>
    <w:p w14:paraId="33D51603" w14:textId="10BA4AEF" w:rsidR="00F173BA" w:rsidRPr="003D162D" w:rsidRDefault="00F173BA" w:rsidP="002570B0">
      <w:pPr>
        <w:rPr>
          <w:rFonts w:ascii="Times New Roman" w:hAnsi="Times New Roman" w:cs="Times New Roman"/>
          <w:sz w:val="24"/>
          <w:szCs w:val="24"/>
        </w:rPr>
      </w:pPr>
    </w:p>
    <w:p w14:paraId="55D95E22" w14:textId="0EFD17BF" w:rsidR="00F173BA" w:rsidRPr="003D162D" w:rsidRDefault="00F173BA" w:rsidP="002570B0">
      <w:pPr>
        <w:rPr>
          <w:rFonts w:ascii="Times New Roman" w:hAnsi="Times New Roman" w:cs="Times New Roman"/>
          <w:sz w:val="24"/>
          <w:szCs w:val="24"/>
        </w:rPr>
      </w:pPr>
    </w:p>
    <w:p w14:paraId="1E84A240" w14:textId="61513D00" w:rsidR="00F173BA" w:rsidRPr="003D162D" w:rsidRDefault="00F173BA" w:rsidP="002570B0">
      <w:pPr>
        <w:rPr>
          <w:rFonts w:ascii="Times New Roman" w:hAnsi="Times New Roman" w:cs="Times New Roman"/>
          <w:sz w:val="24"/>
          <w:szCs w:val="24"/>
        </w:rPr>
      </w:pPr>
    </w:p>
    <w:p w14:paraId="049E1B58" w14:textId="408BB97D" w:rsidR="00F173BA" w:rsidRPr="003D162D" w:rsidRDefault="00F173BA" w:rsidP="002570B0">
      <w:pPr>
        <w:rPr>
          <w:rFonts w:ascii="Times New Roman" w:hAnsi="Times New Roman" w:cs="Times New Roman"/>
          <w:sz w:val="24"/>
          <w:szCs w:val="24"/>
        </w:rPr>
      </w:pPr>
    </w:p>
    <w:p w14:paraId="3F19C72F" w14:textId="49CAEBA5" w:rsidR="00F173BA" w:rsidRPr="003D162D" w:rsidRDefault="00F173BA" w:rsidP="00F173BA">
      <w:pPr>
        <w:tabs>
          <w:tab w:val="left" w:pos="6948"/>
        </w:tabs>
        <w:rPr>
          <w:rFonts w:ascii="Times New Roman" w:hAnsi="Times New Roman" w:cs="Times New Roman"/>
          <w:sz w:val="24"/>
          <w:szCs w:val="24"/>
        </w:rPr>
      </w:pPr>
      <w:r w:rsidRPr="003D162D">
        <w:rPr>
          <w:rFonts w:ascii="Times New Roman" w:hAnsi="Times New Roman" w:cs="Times New Roman"/>
          <w:sz w:val="24"/>
          <w:szCs w:val="24"/>
        </w:rPr>
        <w:tab/>
      </w:r>
    </w:p>
    <w:sectPr w:rsidR="00F173BA" w:rsidRPr="003D162D"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50536" w14:textId="77777777" w:rsidR="00BC007A" w:rsidRDefault="00BC007A" w:rsidP="00702393">
      <w:pPr>
        <w:spacing w:after="0" w:line="240" w:lineRule="auto"/>
      </w:pPr>
      <w:r>
        <w:separator/>
      </w:r>
    </w:p>
  </w:endnote>
  <w:endnote w:type="continuationSeparator" w:id="0">
    <w:p w14:paraId="70F054A2" w14:textId="77777777" w:rsidR="00BC007A" w:rsidRDefault="00BC007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513E9" w14:textId="77777777" w:rsidR="00BC007A" w:rsidRDefault="00BC007A" w:rsidP="00702393">
      <w:pPr>
        <w:spacing w:after="0" w:line="240" w:lineRule="auto"/>
      </w:pPr>
      <w:r>
        <w:separator/>
      </w:r>
    </w:p>
  </w:footnote>
  <w:footnote w:type="continuationSeparator" w:id="0">
    <w:p w14:paraId="1DDF1C50" w14:textId="77777777" w:rsidR="00BC007A" w:rsidRDefault="00BC007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20474"/>
    <w:rsid w:val="00083357"/>
    <w:rsid w:val="00102D7B"/>
    <w:rsid w:val="00152128"/>
    <w:rsid w:val="001539CF"/>
    <w:rsid w:val="00193E1B"/>
    <w:rsid w:val="001C5801"/>
    <w:rsid w:val="001E7ED8"/>
    <w:rsid w:val="002570B0"/>
    <w:rsid w:val="002A1A72"/>
    <w:rsid w:val="002B659E"/>
    <w:rsid w:val="002F4C04"/>
    <w:rsid w:val="00315990"/>
    <w:rsid w:val="00327D34"/>
    <w:rsid w:val="00327E86"/>
    <w:rsid w:val="00396063"/>
    <w:rsid w:val="003C77EA"/>
    <w:rsid w:val="003D162D"/>
    <w:rsid w:val="003E3623"/>
    <w:rsid w:val="00442855"/>
    <w:rsid w:val="00461793"/>
    <w:rsid w:val="005A3B78"/>
    <w:rsid w:val="006B0A4D"/>
    <w:rsid w:val="006C7770"/>
    <w:rsid w:val="006E2D0A"/>
    <w:rsid w:val="00702393"/>
    <w:rsid w:val="00722D19"/>
    <w:rsid w:val="008A7236"/>
    <w:rsid w:val="008E06AE"/>
    <w:rsid w:val="008E7DF6"/>
    <w:rsid w:val="0091354D"/>
    <w:rsid w:val="00940023"/>
    <w:rsid w:val="0094655E"/>
    <w:rsid w:val="009E6904"/>
    <w:rsid w:val="00A23573"/>
    <w:rsid w:val="00A45B15"/>
    <w:rsid w:val="00A81D5F"/>
    <w:rsid w:val="00B31BDB"/>
    <w:rsid w:val="00BC007A"/>
    <w:rsid w:val="00BD7730"/>
    <w:rsid w:val="00C16D9C"/>
    <w:rsid w:val="00CB275A"/>
    <w:rsid w:val="00CF5BD5"/>
    <w:rsid w:val="00D02DFB"/>
    <w:rsid w:val="00DB660C"/>
    <w:rsid w:val="00E16F63"/>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3D162D"/>
    <w:rPr>
      <w:color w:val="0563C1" w:themeColor="hyperlink"/>
      <w:u w:val="single"/>
    </w:rPr>
  </w:style>
  <w:style w:type="character" w:styleId="ab">
    <w:name w:val="Unresolved Mention"/>
    <w:basedOn w:val="a0"/>
    <w:uiPriority w:val="99"/>
    <w:semiHidden/>
    <w:unhideWhenUsed/>
    <w:rsid w:val="003D1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profile/5766898771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737</Words>
  <Characters>4205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2021-12-04T11:39:00Z</dcterms:modified>
</cp:coreProperties>
</file>