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EF320" w14:textId="77777777" w:rsidR="0041791A" w:rsidRPr="00B14058" w:rsidRDefault="00723E82" w:rsidP="00B140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4058">
        <w:rPr>
          <w:rFonts w:ascii="Times New Roman" w:hAnsi="Times New Roman" w:cs="Times New Roman"/>
          <w:b/>
          <w:bCs/>
          <w:sz w:val="24"/>
          <w:szCs w:val="24"/>
        </w:rPr>
        <w:t>Неправильный учет фиксированных активов по группам может привести к неправильному исчислению амортизационных отчислений и, соответственно, доначислению КПН</w:t>
      </w:r>
    </w:p>
    <w:p w14:paraId="156154A1" w14:textId="77777777" w:rsidR="0041791A" w:rsidRPr="00B14058" w:rsidRDefault="0041791A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4D403E" w14:textId="77777777" w:rsidR="00B14058" w:rsidRDefault="0041791A" w:rsidP="00B140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058">
        <w:rPr>
          <w:rFonts w:ascii="Times New Roman" w:hAnsi="Times New Roman" w:cs="Times New Roman"/>
          <w:sz w:val="24"/>
          <w:szCs w:val="24"/>
        </w:rPr>
        <w:t xml:space="preserve">АО «С», оспаривая выводы налогового органа, указало, что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мультифазный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 xml:space="preserve"> насос, замерные установки, выкидные линии, выкидные трубопроводы, газопроводы и обустройство скважины подлежат учету во II группе, а не в IV группе. Фиксированные активы: новая база,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внутрипромысловая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 xml:space="preserve"> дорога на месторождении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Жанажол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 xml:space="preserve">, столовая, подлежат учету по IV группе, а не по І группе. В обоснование таких доводов заявитель привел положения Государственного классификатора Республики Казахстан ГК РК 12-2009 «Классификатор основных фондов» (далее – КОФ). </w:t>
      </w:r>
    </w:p>
    <w:p w14:paraId="11C193DA" w14:textId="6C82D85F" w:rsidR="00B14058" w:rsidRDefault="0041791A" w:rsidP="00B140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058">
        <w:rPr>
          <w:rFonts w:ascii="Times New Roman" w:hAnsi="Times New Roman" w:cs="Times New Roman"/>
          <w:sz w:val="24"/>
          <w:szCs w:val="24"/>
        </w:rPr>
        <w:t xml:space="preserve">Суд доводы заявителя признал необоснованными и указал следующее. В соответствии с пунктом 1 статьи 117 Налогового кодекса, учет фиксированных активов осуществляется по группам, формируемым в </w:t>
      </w:r>
      <w:hyperlink r:id="rId6" w:history="1">
        <w:r w:rsidRPr="007C5B51">
          <w:rPr>
            <w:rStyle w:val="aa"/>
            <w:rFonts w:ascii="Times New Roman" w:hAnsi="Times New Roman" w:cs="Times New Roman"/>
            <w:sz w:val="24"/>
            <w:szCs w:val="24"/>
          </w:rPr>
          <w:t>соответствии с классификацией, установленной уполномоченным</w:t>
        </w:r>
      </w:hyperlink>
      <w:r w:rsidRPr="00B14058">
        <w:rPr>
          <w:rFonts w:ascii="Times New Roman" w:hAnsi="Times New Roman" w:cs="Times New Roman"/>
          <w:sz w:val="24"/>
          <w:szCs w:val="24"/>
        </w:rPr>
        <w:t xml:space="preserve"> государственным органом по техническому регулированию и метрологии, в следующем порядке: I группа - здания, сооружения, за исключением нефтяных, газовых скважин и передаточных устройств; II группа - машины и оборудование, за исключением машин и оборудования нефтегазодобычи, а также компьютеров и оборудования для обработки информации; IV - фиксированные активы, не включенные в другие группы, в том числе нефтяные, газовые скважины, передаточные устройства, машины и оборудование нефтегазодобычи. </w:t>
      </w:r>
    </w:p>
    <w:p w14:paraId="3F6F39C4" w14:textId="77777777" w:rsidR="00B14058" w:rsidRDefault="0041791A" w:rsidP="00B140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058">
        <w:rPr>
          <w:rFonts w:ascii="Times New Roman" w:hAnsi="Times New Roman" w:cs="Times New Roman"/>
          <w:sz w:val="24"/>
          <w:szCs w:val="24"/>
        </w:rPr>
        <w:t xml:space="preserve">Установлено, что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мультифазный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 xml:space="preserve"> насос и замерные установки предназначены для использования в процессе производства в течение более чем одного отчетного периода, поэтому суд посчитал обоснованным перевод указанных активов из группы ІІ в группу IV. Доводы заявителя о том, что их использование обширно, суд признал несостоятельными, поскольку они используются непосредственно в нефтегазодобыче. </w:t>
      </w:r>
    </w:p>
    <w:p w14:paraId="00379CCD" w14:textId="3F465683" w:rsidR="00A81D5F" w:rsidRPr="00B14058" w:rsidRDefault="0041791A" w:rsidP="00B1405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4058">
        <w:rPr>
          <w:rFonts w:ascii="Times New Roman" w:hAnsi="Times New Roman" w:cs="Times New Roman"/>
          <w:sz w:val="24"/>
          <w:szCs w:val="24"/>
        </w:rPr>
        <w:t xml:space="preserve">Проанализировав Классификатор основных фондов (далее – КОФ), суд констатировал, что выкидные линии и выкидные трубопроводы предназначены для передачи (транспортировки) жидких и газообразных веществ, используются в рамках контракта на добычу нефти, соответственно действия Департамента по отнесению фиксированных активов к IV группе, являются </w:t>
      </w:r>
      <w:hyperlink r:id="rId7" w:history="1">
        <w:r w:rsidRPr="00B14058">
          <w:rPr>
            <w:rStyle w:val="aa"/>
            <w:rFonts w:ascii="Times New Roman" w:hAnsi="Times New Roman" w:cs="Times New Roman"/>
            <w:sz w:val="24"/>
            <w:szCs w:val="24"/>
          </w:rPr>
          <w:t>правомерными. В соответствии с требованиями налогового законодательства</w:t>
        </w:r>
      </w:hyperlink>
      <w:r w:rsidRPr="00B14058">
        <w:rPr>
          <w:rFonts w:ascii="Times New Roman" w:hAnsi="Times New Roman" w:cs="Times New Roman"/>
          <w:sz w:val="24"/>
          <w:szCs w:val="24"/>
        </w:rPr>
        <w:t xml:space="preserve"> и КОФ судом разрешен вопрос относительно перевода налоговым органом в 1 группу названных выше фиксированных активов: новая база,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внутрипромысловая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 xml:space="preserve"> дорога на месторождении </w:t>
      </w:r>
      <w:proofErr w:type="spellStart"/>
      <w:r w:rsidRPr="00B14058">
        <w:rPr>
          <w:rFonts w:ascii="Times New Roman" w:hAnsi="Times New Roman" w:cs="Times New Roman"/>
          <w:sz w:val="24"/>
          <w:szCs w:val="24"/>
        </w:rPr>
        <w:t>Жанажол</w:t>
      </w:r>
      <w:proofErr w:type="spellEnd"/>
      <w:r w:rsidRPr="00B14058">
        <w:rPr>
          <w:rFonts w:ascii="Times New Roman" w:hAnsi="Times New Roman" w:cs="Times New Roman"/>
          <w:sz w:val="24"/>
          <w:szCs w:val="24"/>
        </w:rPr>
        <w:t>, столовая.</w:t>
      </w:r>
      <w:r w:rsidR="00CF5BD5" w:rsidRPr="00B140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1405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1405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B1405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1405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1791A"/>
    <w:rsid w:val="00442855"/>
    <w:rsid w:val="00461793"/>
    <w:rsid w:val="005A3B78"/>
    <w:rsid w:val="006B0A4D"/>
    <w:rsid w:val="006E2D0A"/>
    <w:rsid w:val="00702393"/>
    <w:rsid w:val="00722D19"/>
    <w:rsid w:val="00723E82"/>
    <w:rsid w:val="007C5B51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14058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1405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14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2021-10-15T16:42:00Z</dcterms:modified>
</cp:coreProperties>
</file>