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5DC4B0" w14:textId="2C7956C6" w:rsidR="00671F5C" w:rsidRPr="00671F5C" w:rsidRDefault="00671F5C" w:rsidP="00335533">
      <w:pPr>
        <w:jc w:val="center"/>
        <w:rPr>
          <w:rFonts w:ascii="Times New Roman" w:hAnsi="Times New Roman" w:cs="Times New Roman"/>
          <w:b/>
          <w:bCs/>
          <w:sz w:val="24"/>
          <w:szCs w:val="24"/>
        </w:rPr>
      </w:pPr>
      <w:r>
        <w:rPr>
          <w:rFonts w:ascii="Times New Roman" w:hAnsi="Times New Roman" w:cs="Times New Roman"/>
          <w:b/>
          <w:bCs/>
          <w:sz w:val="24"/>
          <w:szCs w:val="24"/>
        </w:rPr>
        <w:t>П</w:t>
      </w:r>
      <w:r w:rsidRPr="00671F5C">
        <w:rPr>
          <w:rFonts w:ascii="Times New Roman" w:hAnsi="Times New Roman" w:cs="Times New Roman"/>
          <w:b/>
          <w:bCs/>
          <w:sz w:val="24"/>
          <w:szCs w:val="24"/>
        </w:rPr>
        <w:t>орядок определения налогооблагаемого дохода</w:t>
      </w:r>
    </w:p>
    <w:p w14:paraId="5B68ED1A" w14:textId="77777777" w:rsidR="00671F5C" w:rsidRDefault="00671F5C" w:rsidP="00335533">
      <w:pPr>
        <w:jc w:val="center"/>
        <w:rPr>
          <w:rFonts w:ascii="Times New Roman" w:hAnsi="Times New Roman" w:cs="Times New Roman"/>
          <w:b/>
          <w:bCs/>
          <w:sz w:val="24"/>
          <w:szCs w:val="24"/>
        </w:rPr>
      </w:pPr>
    </w:p>
    <w:p w14:paraId="51653BBE" w14:textId="7CEEFE22" w:rsidR="00D12DA8" w:rsidRPr="00335533" w:rsidRDefault="0046132A" w:rsidP="00671F5C">
      <w:pPr>
        <w:ind w:firstLine="720"/>
        <w:jc w:val="both"/>
        <w:rPr>
          <w:rFonts w:ascii="Times New Roman" w:hAnsi="Times New Roman" w:cs="Times New Roman"/>
          <w:sz w:val="24"/>
          <w:szCs w:val="24"/>
        </w:rPr>
      </w:pPr>
      <w:r w:rsidRPr="00671F5C">
        <w:rPr>
          <w:rFonts w:ascii="Times New Roman" w:hAnsi="Times New Roman" w:cs="Times New Roman"/>
          <w:sz w:val="24"/>
          <w:szCs w:val="24"/>
        </w:rPr>
        <w:t>Нормы Закона о трансфертном ценообразовании не предусматривают порядок определения налогооблагаемого дохода, а регламентируют механизм корректировки применяемых цен в международных деловых операциях. В этой связи при осуществлении государственного контроля над использованием трансфертных цен не подлежат применению положения контракта на недропользование</w:t>
      </w:r>
      <w:r w:rsidR="00671F5C">
        <w:rPr>
          <w:rFonts w:ascii="Times New Roman" w:hAnsi="Times New Roman" w:cs="Times New Roman"/>
          <w:sz w:val="24"/>
          <w:szCs w:val="24"/>
        </w:rPr>
        <w:t>.</w:t>
      </w:r>
    </w:p>
    <w:p w14:paraId="0CB16DC2" w14:textId="77777777" w:rsidR="00335533" w:rsidRDefault="00D12DA8" w:rsidP="00335533">
      <w:pPr>
        <w:ind w:firstLine="720"/>
        <w:jc w:val="both"/>
        <w:rPr>
          <w:rFonts w:ascii="Times New Roman" w:hAnsi="Times New Roman" w:cs="Times New Roman"/>
          <w:sz w:val="24"/>
          <w:szCs w:val="24"/>
        </w:rPr>
      </w:pPr>
      <w:r w:rsidRPr="00335533">
        <w:rPr>
          <w:rFonts w:ascii="Times New Roman" w:hAnsi="Times New Roman" w:cs="Times New Roman"/>
          <w:sz w:val="24"/>
          <w:szCs w:val="24"/>
        </w:rPr>
        <w:t xml:space="preserve">К такому выводу пришла специализированная судебная коллегия Верховного Суда при рассмотрении дела по заявлению Компании «М». Согласно заявлению Компании при расчете корректируемого дохода Департамент учел всю выручку от реализации нефти без учета положений ДРП </w:t>
      </w:r>
      <w:proofErr w:type="spellStart"/>
      <w:r w:rsidRPr="00335533">
        <w:rPr>
          <w:rFonts w:ascii="Times New Roman" w:hAnsi="Times New Roman" w:cs="Times New Roman"/>
          <w:sz w:val="24"/>
          <w:szCs w:val="24"/>
        </w:rPr>
        <w:t>Дунга</w:t>
      </w:r>
      <w:proofErr w:type="spellEnd"/>
      <w:r w:rsidRPr="00335533">
        <w:rPr>
          <w:rFonts w:ascii="Times New Roman" w:hAnsi="Times New Roman" w:cs="Times New Roman"/>
          <w:sz w:val="24"/>
          <w:szCs w:val="24"/>
        </w:rPr>
        <w:t xml:space="preserve">, Договора о совместной деятельности от 9 августа 2001 года, Операционного соглашения касательно маркетинга, транспортировки и продаж нефти и газа от 1 января 2017 года. </w:t>
      </w:r>
    </w:p>
    <w:p w14:paraId="74A5A556" w14:textId="77777777" w:rsidR="00335533" w:rsidRDefault="00D12DA8" w:rsidP="00335533">
      <w:pPr>
        <w:ind w:firstLine="720"/>
        <w:jc w:val="both"/>
        <w:rPr>
          <w:rFonts w:ascii="Times New Roman" w:hAnsi="Times New Roman" w:cs="Times New Roman"/>
          <w:sz w:val="24"/>
          <w:szCs w:val="24"/>
        </w:rPr>
      </w:pPr>
      <w:r w:rsidRPr="00335533">
        <w:rPr>
          <w:rFonts w:ascii="Times New Roman" w:hAnsi="Times New Roman" w:cs="Times New Roman"/>
          <w:sz w:val="24"/>
          <w:szCs w:val="24"/>
        </w:rPr>
        <w:t xml:space="preserve">Совокупный доход Компании от реализации нефти составляет 87,2 % от общего объема реализованной нефти, из них: 52,32% принадлежит Компании, 17,44 % - компании «П» и 17,44 % - компании «О». 12,8 % от общего объема реализованной нефти принадлежит Казахской стороне. Соответственно к налогооблагаемому доходу Компании относится только тот доход, который получен от реализации его доли нефти. Продажа доли нефти Казахской стороны осуществляется на основании писем поручений АО «К» и Министерства нефти и газа Республики Казахстан и право собственности на эту долю не переходит, все вырученные от продажи доли перечисляются в доход Республики Казахстан. </w:t>
      </w:r>
    </w:p>
    <w:p w14:paraId="4450EB08" w14:textId="6C788275" w:rsidR="00335533" w:rsidRDefault="00D12DA8" w:rsidP="00335533">
      <w:pPr>
        <w:ind w:firstLine="720"/>
        <w:jc w:val="both"/>
        <w:rPr>
          <w:rFonts w:ascii="Times New Roman" w:hAnsi="Times New Roman" w:cs="Times New Roman"/>
          <w:sz w:val="24"/>
          <w:szCs w:val="24"/>
        </w:rPr>
      </w:pPr>
      <w:r w:rsidRPr="00335533">
        <w:rPr>
          <w:rFonts w:ascii="Times New Roman" w:hAnsi="Times New Roman" w:cs="Times New Roman"/>
          <w:sz w:val="24"/>
          <w:szCs w:val="24"/>
        </w:rPr>
        <w:t xml:space="preserve">Удовлетворяя заявление Компании в указанной части, суд первой инстанции исходил из того, что заявитель не приобрел право собственности на доли Казахской стороны и партнеров, на него не возложена обязанность по уплате налогов от выручки с продажи этих долей. Соответственно суммы, полученные от реализации этих долей, не должны включаться в налогооблагаемый доход Компании. Судом апелляционной инстанции данные выводы признаны противоречащими </w:t>
      </w:r>
      <w:hyperlink r:id="rId6" w:history="1">
        <w:r w:rsidRPr="008535F4">
          <w:rPr>
            <w:rStyle w:val="aa"/>
            <w:rFonts w:ascii="Times New Roman" w:hAnsi="Times New Roman" w:cs="Times New Roman"/>
            <w:sz w:val="24"/>
            <w:szCs w:val="24"/>
          </w:rPr>
          <w:t>требованиям законодательства и не соответствующими</w:t>
        </w:r>
      </w:hyperlink>
      <w:r w:rsidRPr="00335533">
        <w:rPr>
          <w:rFonts w:ascii="Times New Roman" w:hAnsi="Times New Roman" w:cs="Times New Roman"/>
          <w:sz w:val="24"/>
          <w:szCs w:val="24"/>
        </w:rPr>
        <w:t xml:space="preserve"> обстоятельствам дела. В силу статьи 392 ГК при толковании условий договора судом принимается во внимание буквальное значение содержащихся в нем слов и выражений. Буквальное значение условия договора в случае его неясности устанавливается путем сопоставления с другими условиями и смыслом договора в целом. </w:t>
      </w:r>
    </w:p>
    <w:p w14:paraId="153DEAB2" w14:textId="77777777" w:rsidR="00FD75D8" w:rsidRDefault="00D12DA8" w:rsidP="00335533">
      <w:pPr>
        <w:ind w:firstLine="720"/>
        <w:jc w:val="both"/>
        <w:rPr>
          <w:rFonts w:ascii="Times New Roman" w:hAnsi="Times New Roman" w:cs="Times New Roman"/>
          <w:sz w:val="24"/>
          <w:szCs w:val="24"/>
        </w:rPr>
      </w:pPr>
      <w:r w:rsidRPr="00335533">
        <w:rPr>
          <w:rFonts w:ascii="Times New Roman" w:hAnsi="Times New Roman" w:cs="Times New Roman"/>
          <w:sz w:val="24"/>
          <w:szCs w:val="24"/>
        </w:rPr>
        <w:t xml:space="preserve">В соответствии с разделом 9.1 ДРП </w:t>
      </w:r>
      <w:proofErr w:type="spellStart"/>
      <w:r w:rsidRPr="00335533">
        <w:rPr>
          <w:rFonts w:ascii="Times New Roman" w:hAnsi="Times New Roman" w:cs="Times New Roman"/>
          <w:sz w:val="24"/>
          <w:szCs w:val="24"/>
        </w:rPr>
        <w:t>Дунга</w:t>
      </w:r>
      <w:proofErr w:type="spellEnd"/>
      <w:r w:rsidRPr="00335533">
        <w:rPr>
          <w:rFonts w:ascii="Times New Roman" w:hAnsi="Times New Roman" w:cs="Times New Roman"/>
          <w:sz w:val="24"/>
          <w:szCs w:val="24"/>
        </w:rPr>
        <w:t xml:space="preserve"> в редакции Соглашения 2015 года выплата доли, причитающейся Казахской стороне, производится </w:t>
      </w:r>
      <w:proofErr w:type="spellStart"/>
      <w:r w:rsidRPr="00335533">
        <w:rPr>
          <w:rFonts w:ascii="Times New Roman" w:hAnsi="Times New Roman" w:cs="Times New Roman"/>
          <w:sz w:val="24"/>
          <w:szCs w:val="24"/>
        </w:rPr>
        <w:t>Контрактором</w:t>
      </w:r>
      <w:proofErr w:type="spellEnd"/>
      <w:r w:rsidRPr="00335533">
        <w:rPr>
          <w:rFonts w:ascii="Times New Roman" w:hAnsi="Times New Roman" w:cs="Times New Roman"/>
          <w:sz w:val="24"/>
          <w:szCs w:val="24"/>
        </w:rPr>
        <w:t xml:space="preserve"> (Компанией) в денежной форме на соответствующий код бюджетной классификации. В силу пункта 10.5.2 ДРП </w:t>
      </w:r>
      <w:proofErr w:type="spellStart"/>
      <w:r w:rsidRPr="00335533">
        <w:rPr>
          <w:rFonts w:ascii="Times New Roman" w:hAnsi="Times New Roman" w:cs="Times New Roman"/>
          <w:sz w:val="24"/>
          <w:szCs w:val="24"/>
        </w:rPr>
        <w:t>Дунга</w:t>
      </w:r>
      <w:proofErr w:type="spellEnd"/>
      <w:r w:rsidRPr="00335533">
        <w:rPr>
          <w:rFonts w:ascii="Times New Roman" w:hAnsi="Times New Roman" w:cs="Times New Roman"/>
          <w:sz w:val="24"/>
          <w:szCs w:val="24"/>
        </w:rPr>
        <w:t xml:space="preserve"> в редакции Соглашения 2015 года </w:t>
      </w:r>
      <w:proofErr w:type="spellStart"/>
      <w:r w:rsidRPr="00335533">
        <w:rPr>
          <w:rFonts w:ascii="Times New Roman" w:hAnsi="Times New Roman" w:cs="Times New Roman"/>
          <w:sz w:val="24"/>
          <w:szCs w:val="24"/>
        </w:rPr>
        <w:t>Контрактор</w:t>
      </w:r>
      <w:proofErr w:type="spellEnd"/>
      <w:r w:rsidRPr="00335533">
        <w:rPr>
          <w:rFonts w:ascii="Times New Roman" w:hAnsi="Times New Roman" w:cs="Times New Roman"/>
          <w:sz w:val="24"/>
          <w:szCs w:val="24"/>
        </w:rPr>
        <w:t xml:space="preserve"> соглашается, что раздел 10.5.1 (в части предоставления налоговых форм, проведения налоговых проверок, уплаты налогов, штрафов и пени) применяется также и к доле Казахской стороны, рассчитываемой в соответствии со статьей IX ДРП. Такая доля Казахской стороны не является налогом, а представляет собой исключительно договорное обязательство. </w:t>
      </w:r>
    </w:p>
    <w:p w14:paraId="4988F60D" w14:textId="77777777" w:rsidR="00FD75D8" w:rsidRDefault="00D12DA8" w:rsidP="00335533">
      <w:pPr>
        <w:ind w:firstLine="720"/>
        <w:jc w:val="both"/>
        <w:rPr>
          <w:rFonts w:ascii="Times New Roman" w:hAnsi="Times New Roman" w:cs="Times New Roman"/>
          <w:sz w:val="24"/>
          <w:szCs w:val="24"/>
        </w:rPr>
      </w:pPr>
      <w:r w:rsidRPr="00335533">
        <w:rPr>
          <w:rFonts w:ascii="Times New Roman" w:hAnsi="Times New Roman" w:cs="Times New Roman"/>
          <w:sz w:val="24"/>
          <w:szCs w:val="24"/>
        </w:rPr>
        <w:t xml:space="preserve">В соответствии с положениями статьи IX ДРП </w:t>
      </w:r>
      <w:proofErr w:type="spellStart"/>
      <w:r w:rsidRPr="00335533">
        <w:rPr>
          <w:rFonts w:ascii="Times New Roman" w:hAnsi="Times New Roman" w:cs="Times New Roman"/>
          <w:sz w:val="24"/>
          <w:szCs w:val="24"/>
        </w:rPr>
        <w:t>Дунга</w:t>
      </w:r>
      <w:proofErr w:type="spellEnd"/>
      <w:r w:rsidRPr="00335533">
        <w:rPr>
          <w:rFonts w:ascii="Times New Roman" w:hAnsi="Times New Roman" w:cs="Times New Roman"/>
          <w:sz w:val="24"/>
          <w:szCs w:val="24"/>
        </w:rPr>
        <w:t xml:space="preserve"> </w:t>
      </w:r>
      <w:proofErr w:type="spellStart"/>
      <w:r w:rsidRPr="00335533">
        <w:rPr>
          <w:rFonts w:ascii="Times New Roman" w:hAnsi="Times New Roman" w:cs="Times New Roman"/>
          <w:sz w:val="24"/>
          <w:szCs w:val="24"/>
        </w:rPr>
        <w:t>Контрактор</w:t>
      </w:r>
      <w:proofErr w:type="spellEnd"/>
      <w:r w:rsidRPr="00335533">
        <w:rPr>
          <w:rFonts w:ascii="Times New Roman" w:hAnsi="Times New Roman" w:cs="Times New Roman"/>
          <w:sz w:val="24"/>
          <w:szCs w:val="24"/>
        </w:rPr>
        <w:t xml:space="preserve"> имеет исключительное право на получение в свое распоряжение в каждом квартале такого количества нефти и газа чистой добычи за каждый календарный год. Казахская сторона имеет право на получение своей доли в процентном соотношении из оставшейся части чистой добычи. Согласно пункту 1.24 «Чистая добыча» означает количество нефти и газа, добытых на </w:t>
      </w:r>
      <w:proofErr w:type="spellStart"/>
      <w:r w:rsidRPr="00335533">
        <w:rPr>
          <w:rFonts w:ascii="Times New Roman" w:hAnsi="Times New Roman" w:cs="Times New Roman"/>
          <w:sz w:val="24"/>
          <w:szCs w:val="24"/>
        </w:rPr>
        <w:t>подконтрактной</w:t>
      </w:r>
      <w:proofErr w:type="spellEnd"/>
      <w:r w:rsidRPr="00335533">
        <w:rPr>
          <w:rFonts w:ascii="Times New Roman" w:hAnsi="Times New Roman" w:cs="Times New Roman"/>
          <w:sz w:val="24"/>
          <w:szCs w:val="24"/>
        </w:rPr>
        <w:t xml:space="preserve"> территории по ДРП.</w:t>
      </w:r>
      <w:r w:rsidR="00CF5BD5" w:rsidRPr="00335533">
        <w:rPr>
          <w:rFonts w:ascii="Times New Roman" w:hAnsi="Times New Roman" w:cs="Times New Roman"/>
          <w:sz w:val="24"/>
          <w:szCs w:val="24"/>
        </w:rPr>
        <w:t xml:space="preserve"> </w:t>
      </w:r>
      <w:r w:rsidR="00F15AE6" w:rsidRPr="00335533">
        <w:rPr>
          <w:rFonts w:ascii="Times New Roman" w:hAnsi="Times New Roman" w:cs="Times New Roman"/>
          <w:sz w:val="24"/>
          <w:szCs w:val="24"/>
        </w:rPr>
        <w:t xml:space="preserve">В силу статьи XI ДРП </w:t>
      </w:r>
      <w:proofErr w:type="spellStart"/>
      <w:r w:rsidR="00F15AE6" w:rsidRPr="00335533">
        <w:rPr>
          <w:rFonts w:ascii="Times New Roman" w:hAnsi="Times New Roman" w:cs="Times New Roman"/>
          <w:sz w:val="24"/>
          <w:szCs w:val="24"/>
        </w:rPr>
        <w:t>Дунга</w:t>
      </w:r>
      <w:proofErr w:type="spellEnd"/>
      <w:r w:rsidR="00F15AE6" w:rsidRPr="00335533">
        <w:rPr>
          <w:rFonts w:ascii="Times New Roman" w:hAnsi="Times New Roman" w:cs="Times New Roman"/>
          <w:sz w:val="24"/>
          <w:szCs w:val="24"/>
        </w:rPr>
        <w:t xml:space="preserve"> </w:t>
      </w:r>
      <w:proofErr w:type="spellStart"/>
      <w:r w:rsidR="00F15AE6" w:rsidRPr="00335533">
        <w:rPr>
          <w:rFonts w:ascii="Times New Roman" w:hAnsi="Times New Roman" w:cs="Times New Roman"/>
          <w:sz w:val="24"/>
          <w:szCs w:val="24"/>
        </w:rPr>
        <w:t>Контрактор</w:t>
      </w:r>
      <w:proofErr w:type="spellEnd"/>
      <w:r w:rsidR="00F15AE6" w:rsidRPr="00335533">
        <w:rPr>
          <w:rFonts w:ascii="Times New Roman" w:hAnsi="Times New Roman" w:cs="Times New Roman"/>
          <w:sz w:val="24"/>
          <w:szCs w:val="24"/>
        </w:rPr>
        <w:t xml:space="preserve"> ведет </w:t>
      </w:r>
      <w:r w:rsidR="00F15AE6" w:rsidRPr="00335533">
        <w:rPr>
          <w:rFonts w:ascii="Times New Roman" w:hAnsi="Times New Roman" w:cs="Times New Roman"/>
          <w:sz w:val="24"/>
          <w:szCs w:val="24"/>
        </w:rPr>
        <w:lastRenderedPageBreak/>
        <w:t xml:space="preserve">финансовый учет, относящийся к нефтегазовым операциям по ДРП. Таким образом, при реализации нефти вся вырученная сумма относится к доходу Компании. И только в последующем возникает у </w:t>
      </w:r>
      <w:proofErr w:type="spellStart"/>
      <w:r w:rsidR="00F15AE6" w:rsidRPr="00335533">
        <w:rPr>
          <w:rFonts w:ascii="Times New Roman" w:hAnsi="Times New Roman" w:cs="Times New Roman"/>
          <w:sz w:val="24"/>
          <w:szCs w:val="24"/>
        </w:rPr>
        <w:t>Контрактора</w:t>
      </w:r>
      <w:proofErr w:type="spellEnd"/>
      <w:r w:rsidR="00F15AE6" w:rsidRPr="00335533">
        <w:rPr>
          <w:rFonts w:ascii="Times New Roman" w:hAnsi="Times New Roman" w:cs="Times New Roman"/>
          <w:sz w:val="24"/>
          <w:szCs w:val="24"/>
        </w:rPr>
        <w:t xml:space="preserve"> договорное обязательство по выплате доли Казахской стороне в процентном соотношении. </w:t>
      </w:r>
    </w:p>
    <w:p w14:paraId="42AD892B" w14:textId="77777777" w:rsidR="00FD75D8" w:rsidRDefault="00F15AE6" w:rsidP="00335533">
      <w:pPr>
        <w:ind w:firstLine="720"/>
        <w:jc w:val="both"/>
        <w:rPr>
          <w:rFonts w:ascii="Times New Roman" w:hAnsi="Times New Roman" w:cs="Times New Roman"/>
          <w:sz w:val="24"/>
          <w:szCs w:val="24"/>
        </w:rPr>
      </w:pPr>
      <w:r w:rsidRPr="00335533">
        <w:rPr>
          <w:rFonts w:ascii="Times New Roman" w:hAnsi="Times New Roman" w:cs="Times New Roman"/>
          <w:sz w:val="24"/>
          <w:szCs w:val="24"/>
        </w:rPr>
        <w:t xml:space="preserve">В разделе 12.4 ДРП </w:t>
      </w:r>
      <w:proofErr w:type="spellStart"/>
      <w:r w:rsidRPr="00335533">
        <w:rPr>
          <w:rFonts w:ascii="Times New Roman" w:hAnsi="Times New Roman" w:cs="Times New Roman"/>
          <w:sz w:val="24"/>
          <w:szCs w:val="24"/>
        </w:rPr>
        <w:t>Дунга</w:t>
      </w:r>
      <w:proofErr w:type="spellEnd"/>
      <w:r w:rsidRPr="00335533">
        <w:rPr>
          <w:rFonts w:ascii="Times New Roman" w:hAnsi="Times New Roman" w:cs="Times New Roman"/>
          <w:sz w:val="24"/>
          <w:szCs w:val="24"/>
        </w:rPr>
        <w:t xml:space="preserve"> в редакции Соглашения от 24 мая 2002 года предусмотрено, что партнеры имеют право устанавливать свою собственную внутреннюю процедуру распределения доходов и расходов, несмотря на долю участия. То есть все понесенные затраты в связи с </w:t>
      </w:r>
      <w:proofErr w:type="spellStart"/>
      <w:r w:rsidRPr="00335533">
        <w:rPr>
          <w:rFonts w:ascii="Times New Roman" w:hAnsi="Times New Roman" w:cs="Times New Roman"/>
          <w:sz w:val="24"/>
          <w:szCs w:val="24"/>
        </w:rPr>
        <w:t>какойлибо</w:t>
      </w:r>
      <w:proofErr w:type="spellEnd"/>
      <w:r w:rsidRPr="00335533">
        <w:rPr>
          <w:rFonts w:ascii="Times New Roman" w:hAnsi="Times New Roman" w:cs="Times New Roman"/>
          <w:sz w:val="24"/>
          <w:szCs w:val="24"/>
        </w:rPr>
        <w:t xml:space="preserve"> деятельностью будут распределены в соответствии с внутренними соглашениями. </w:t>
      </w:r>
    </w:p>
    <w:p w14:paraId="08336DFE" w14:textId="380F6BF6" w:rsidR="00FD75D8" w:rsidRDefault="00F15AE6" w:rsidP="00335533">
      <w:pPr>
        <w:ind w:firstLine="720"/>
        <w:jc w:val="both"/>
        <w:rPr>
          <w:rFonts w:ascii="Times New Roman" w:hAnsi="Times New Roman" w:cs="Times New Roman"/>
          <w:sz w:val="24"/>
          <w:szCs w:val="24"/>
        </w:rPr>
      </w:pPr>
      <w:r w:rsidRPr="00335533">
        <w:rPr>
          <w:rFonts w:ascii="Times New Roman" w:hAnsi="Times New Roman" w:cs="Times New Roman"/>
          <w:sz w:val="24"/>
          <w:szCs w:val="24"/>
        </w:rPr>
        <w:t xml:space="preserve">В соответствии с пунктом 6 статьи 10 Закона на основании корректировки объектов налогообложения и (или) объектов, связанных с налогообложением, производится уплата налогов и других обязательных платежей в бюджет, рассчитанных таким образом, как если бы доходы или расходы от этих сделок и другие объекты налогообложения за отчетный период были определены исходя из рыночной цены с учетом диапазона цен, с применением штрафов и пени в соответствии с законодательством Республики Казахстан. Нормы Закона не предусматривают порядок определения налогооблагаемого дохода, а регламентируют механизм корректировки применяемых цен в международных деловых операциях. </w:t>
      </w:r>
    </w:p>
    <w:p w14:paraId="00379CCD" w14:textId="757D71AB" w:rsidR="00A81D5F" w:rsidRPr="00335533" w:rsidRDefault="00F15AE6" w:rsidP="00335533">
      <w:pPr>
        <w:ind w:firstLine="720"/>
        <w:jc w:val="both"/>
        <w:rPr>
          <w:rFonts w:ascii="Times New Roman" w:hAnsi="Times New Roman" w:cs="Times New Roman"/>
          <w:sz w:val="24"/>
          <w:szCs w:val="24"/>
        </w:rPr>
      </w:pPr>
      <w:r w:rsidRPr="00335533">
        <w:rPr>
          <w:rFonts w:ascii="Times New Roman" w:hAnsi="Times New Roman" w:cs="Times New Roman"/>
          <w:sz w:val="24"/>
          <w:szCs w:val="24"/>
        </w:rPr>
        <w:t xml:space="preserve">В этой связи при осуществлении государственного контроля при применении трансфертных цен не подлежат применению положения контракта на недропользование. Участником международных сделок по экспорту нефти выступает </w:t>
      </w:r>
      <w:proofErr w:type="spellStart"/>
      <w:r w:rsidRPr="00335533">
        <w:rPr>
          <w:rFonts w:ascii="Times New Roman" w:hAnsi="Times New Roman" w:cs="Times New Roman"/>
          <w:sz w:val="24"/>
          <w:szCs w:val="24"/>
        </w:rPr>
        <w:t>Контрактор</w:t>
      </w:r>
      <w:proofErr w:type="spellEnd"/>
      <w:r w:rsidRPr="00335533">
        <w:rPr>
          <w:rFonts w:ascii="Times New Roman" w:hAnsi="Times New Roman" w:cs="Times New Roman"/>
          <w:sz w:val="24"/>
          <w:szCs w:val="24"/>
        </w:rPr>
        <w:t xml:space="preserve">, который представляет отчетность по экспорту товаров (работ и услуг) в уполномоченный орган. При таких обстоятельствах Департамент </w:t>
      </w:r>
      <w:hyperlink r:id="rId7" w:history="1">
        <w:r w:rsidRPr="00FD75D8">
          <w:rPr>
            <w:rStyle w:val="aa"/>
            <w:rFonts w:ascii="Times New Roman" w:hAnsi="Times New Roman" w:cs="Times New Roman"/>
            <w:sz w:val="24"/>
            <w:szCs w:val="24"/>
          </w:rPr>
          <w:t>правомерно учел всю сумму от реализации нефти как</w:t>
        </w:r>
      </w:hyperlink>
      <w:r w:rsidRPr="00335533">
        <w:rPr>
          <w:rFonts w:ascii="Times New Roman" w:hAnsi="Times New Roman" w:cs="Times New Roman"/>
          <w:sz w:val="24"/>
          <w:szCs w:val="24"/>
        </w:rPr>
        <w:t xml:space="preserve"> совокупный годовой доход и налогооблагаемый доход Компании. В этой связи судом апелляционной инстанции решение суда первой инстанции в указанной части отменено с вынесением нового решения об отказе в удовлетворении заявления Компании.</w:t>
      </w:r>
    </w:p>
    <w:p w14:paraId="7EA7FA65" w14:textId="0D3DEF47" w:rsidR="00F173BA" w:rsidRPr="00335533" w:rsidRDefault="00F173BA" w:rsidP="002570B0">
      <w:pPr>
        <w:rPr>
          <w:rFonts w:ascii="Times New Roman" w:hAnsi="Times New Roman" w:cs="Times New Roman"/>
          <w:sz w:val="24"/>
          <w:szCs w:val="24"/>
        </w:rPr>
      </w:pPr>
    </w:p>
    <w:p w14:paraId="1C113091" w14:textId="5A80DFE0" w:rsidR="00F173BA" w:rsidRPr="00335533" w:rsidRDefault="00F173BA" w:rsidP="002570B0">
      <w:pPr>
        <w:rPr>
          <w:rFonts w:ascii="Times New Roman" w:hAnsi="Times New Roman" w:cs="Times New Roman"/>
          <w:sz w:val="24"/>
          <w:szCs w:val="24"/>
        </w:rPr>
      </w:pPr>
    </w:p>
    <w:p w14:paraId="1D196CDE" w14:textId="737247FA" w:rsidR="00F173BA" w:rsidRPr="00335533" w:rsidRDefault="00F173BA" w:rsidP="002570B0">
      <w:pPr>
        <w:rPr>
          <w:rFonts w:ascii="Times New Roman" w:hAnsi="Times New Roman" w:cs="Times New Roman"/>
          <w:sz w:val="24"/>
          <w:szCs w:val="24"/>
        </w:rPr>
      </w:pPr>
    </w:p>
    <w:p w14:paraId="02403F08" w14:textId="75BEB719" w:rsidR="00F173BA" w:rsidRPr="00335533" w:rsidRDefault="00F173BA" w:rsidP="002570B0">
      <w:pPr>
        <w:rPr>
          <w:rFonts w:ascii="Times New Roman" w:hAnsi="Times New Roman" w:cs="Times New Roman"/>
          <w:sz w:val="24"/>
          <w:szCs w:val="24"/>
        </w:rPr>
      </w:pPr>
    </w:p>
    <w:p w14:paraId="308325D5" w14:textId="324F2E94" w:rsidR="00F173BA" w:rsidRPr="00335533" w:rsidRDefault="00F173BA" w:rsidP="002570B0">
      <w:pPr>
        <w:rPr>
          <w:rFonts w:ascii="Times New Roman" w:hAnsi="Times New Roman" w:cs="Times New Roman"/>
          <w:sz w:val="24"/>
          <w:szCs w:val="24"/>
        </w:rPr>
      </w:pPr>
    </w:p>
    <w:p w14:paraId="22BAA135" w14:textId="6CC745FE" w:rsidR="00F173BA" w:rsidRPr="00335533" w:rsidRDefault="00F173BA" w:rsidP="002570B0">
      <w:pPr>
        <w:rPr>
          <w:rFonts w:ascii="Times New Roman" w:hAnsi="Times New Roman" w:cs="Times New Roman"/>
          <w:sz w:val="24"/>
          <w:szCs w:val="24"/>
        </w:rPr>
      </w:pPr>
    </w:p>
    <w:p w14:paraId="33D51603" w14:textId="10BA4AEF" w:rsidR="00F173BA" w:rsidRPr="00335533" w:rsidRDefault="00F173BA" w:rsidP="002570B0">
      <w:pPr>
        <w:rPr>
          <w:rFonts w:ascii="Times New Roman" w:hAnsi="Times New Roman" w:cs="Times New Roman"/>
          <w:sz w:val="24"/>
          <w:szCs w:val="24"/>
        </w:rPr>
      </w:pPr>
    </w:p>
    <w:p w14:paraId="55D95E22" w14:textId="0EFD17BF" w:rsidR="00F173BA" w:rsidRPr="00335533" w:rsidRDefault="00F173BA" w:rsidP="002570B0">
      <w:pPr>
        <w:rPr>
          <w:rFonts w:ascii="Times New Roman" w:hAnsi="Times New Roman" w:cs="Times New Roman"/>
          <w:sz w:val="24"/>
          <w:szCs w:val="24"/>
        </w:rPr>
      </w:pPr>
    </w:p>
    <w:p w14:paraId="1E84A240" w14:textId="61513D00" w:rsidR="00F173BA" w:rsidRPr="00335533" w:rsidRDefault="00F173BA" w:rsidP="002570B0">
      <w:pPr>
        <w:rPr>
          <w:rFonts w:ascii="Times New Roman" w:hAnsi="Times New Roman" w:cs="Times New Roman"/>
          <w:sz w:val="24"/>
          <w:szCs w:val="24"/>
        </w:rPr>
      </w:pPr>
    </w:p>
    <w:p w14:paraId="049E1B58" w14:textId="408BB97D" w:rsidR="00F173BA" w:rsidRPr="00335533" w:rsidRDefault="00F173BA" w:rsidP="002570B0">
      <w:pPr>
        <w:rPr>
          <w:rFonts w:ascii="Times New Roman" w:hAnsi="Times New Roman" w:cs="Times New Roman"/>
          <w:sz w:val="24"/>
          <w:szCs w:val="24"/>
        </w:rPr>
      </w:pPr>
    </w:p>
    <w:p w14:paraId="3F19C72F" w14:textId="49CAEBA5" w:rsidR="00F173BA" w:rsidRPr="00335533" w:rsidRDefault="00F173BA" w:rsidP="00F173BA">
      <w:pPr>
        <w:tabs>
          <w:tab w:val="left" w:pos="6948"/>
        </w:tabs>
        <w:rPr>
          <w:rFonts w:ascii="Times New Roman" w:hAnsi="Times New Roman" w:cs="Times New Roman"/>
          <w:sz w:val="24"/>
          <w:szCs w:val="24"/>
        </w:rPr>
      </w:pPr>
      <w:r w:rsidRPr="00335533">
        <w:rPr>
          <w:rFonts w:ascii="Times New Roman" w:hAnsi="Times New Roman" w:cs="Times New Roman"/>
          <w:sz w:val="24"/>
          <w:szCs w:val="24"/>
        </w:rPr>
        <w:tab/>
      </w:r>
    </w:p>
    <w:sectPr w:rsidR="00F173BA" w:rsidRPr="00335533" w:rsidSect="00327D34">
      <w:headerReference w:type="default" r:id="rId8"/>
      <w:footerReference w:type="default" r:id="rId9"/>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2498CD" w14:textId="77777777" w:rsidR="00A3430C" w:rsidRDefault="00A3430C" w:rsidP="00702393">
      <w:pPr>
        <w:spacing w:after="0" w:line="240" w:lineRule="auto"/>
      </w:pPr>
      <w:r>
        <w:separator/>
      </w:r>
    </w:p>
  </w:endnote>
  <w:endnote w:type="continuationSeparator" w:id="0">
    <w:p w14:paraId="27EC3D0A" w14:textId="77777777" w:rsidR="00A3430C" w:rsidRDefault="00A3430C"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lang w:eastAsia="ru-RU"/>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lang w:eastAsia="ru-RU"/>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514940" w14:textId="77777777" w:rsidR="00A3430C" w:rsidRDefault="00A3430C" w:rsidP="00702393">
      <w:pPr>
        <w:spacing w:after="0" w:line="240" w:lineRule="auto"/>
      </w:pPr>
      <w:r>
        <w:separator/>
      </w:r>
    </w:p>
  </w:footnote>
  <w:footnote w:type="continuationSeparator" w:id="0">
    <w:p w14:paraId="3EBCBF1C" w14:textId="77777777" w:rsidR="00A3430C" w:rsidRDefault="00A3430C"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47BF92BE" w:rsidR="00702393" w:rsidRPr="00017580" w:rsidRDefault="00940023" w:rsidP="005A3B78">
    <w:pPr>
      <w:pStyle w:val="a4"/>
      <w:tabs>
        <w:tab w:val="clear" w:pos="9355"/>
        <w:tab w:val="right" w:pos="9781"/>
      </w:tabs>
      <w:jc w:val="both"/>
    </w:pPr>
    <w:r>
      <w:rPr>
        <w:noProof/>
        <w:lang w:eastAsia="ru-RU"/>
      </w:rPr>
      <w:drawing>
        <wp:anchor distT="0" distB="0" distL="114300" distR="114300" simplePos="0" relativeHeight="251658240" behindDoc="1" locked="0" layoutInCell="1" allowOverlap="1" wp14:anchorId="0720D792" wp14:editId="0066BECF">
          <wp:simplePos x="0" y="0"/>
          <wp:positionH relativeFrom="margin">
            <wp:posOffset>1361440</wp:posOffset>
          </wp:positionH>
          <wp:positionV relativeFrom="paragraph">
            <wp:posOffset>3223268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83357">
      <w:rPr>
        <w:noProof/>
        <w:lang w:eastAsia="ru-RU"/>
      </w:rPr>
      <w:drawing>
        <wp:anchor distT="0" distB="0" distL="114300" distR="114300" simplePos="0" relativeHeight="251656192" behindDoc="1" locked="0" layoutInCell="1" allowOverlap="1" wp14:anchorId="4CD40BCC" wp14:editId="6690AB11">
          <wp:simplePos x="0" y="0"/>
          <wp:positionH relativeFrom="margin">
            <wp:posOffset>4886325</wp:posOffset>
          </wp:positionH>
          <wp:positionV relativeFrom="paragraph">
            <wp:posOffset>743874</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017580">
      <w:rPr>
        <w:noProof/>
        <w:lang w:eastAsia="ru-RU"/>
      </w:rPr>
      <w:drawing>
        <wp:inline distT="0" distB="0" distL="0" distR="0" wp14:anchorId="1ED2111A" wp14:editId="1AF78A52">
          <wp:extent cx="2254250" cy="490293"/>
          <wp:effectExtent l="0" t="0" r="0" b="508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29490" cy="506657"/>
                  </a:xfrm>
                  <a:prstGeom prst="rect">
                    <a:avLst/>
                  </a:prstGeom>
                  <a:noFill/>
                  <a:ln>
                    <a:noFill/>
                  </a:ln>
                </pic:spPr>
              </pic:pic>
            </a:graphicData>
          </a:graphic>
        </wp:inline>
      </w:drawing>
    </w:r>
    <w:r w:rsidR="00017580">
      <w:t xml:space="preserve">              </w:t>
    </w:r>
    <w:r w:rsidR="00D02DFB">
      <w:t xml:space="preserve">       </w:t>
    </w:r>
    <w:r w:rsidR="005A3B78">
      <w:t xml:space="preserve">                  </w:t>
    </w:r>
    <w:r w:rsidR="00D02DFB">
      <w:t xml:space="preserve">                        </w:t>
    </w:r>
    <w:r w:rsidR="00083357">
      <w:rPr>
        <w:noProof/>
        <w:lang w:eastAsia="ru-RU"/>
      </w:rPr>
      <w:drawing>
        <wp:inline distT="0" distB="0" distL="0" distR="0" wp14:anchorId="38BCEF49" wp14:editId="4334A5C0">
          <wp:extent cx="1916010" cy="551775"/>
          <wp:effectExtent l="0" t="0" r="0" b="127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3">
                    <a:extLst>
                      <a:ext uri="{28A0092B-C50C-407E-A947-70E740481C1C}">
                        <a14:useLocalDpi xmlns:a14="http://schemas.microsoft.com/office/drawing/2010/main" val="0"/>
                      </a:ext>
                    </a:extLst>
                  </a:blip>
                  <a:stretch>
                    <a:fillRect/>
                  </a:stretch>
                </pic:blipFill>
                <pic:spPr>
                  <a:xfrm>
                    <a:off x="0" y="0"/>
                    <a:ext cx="2256020" cy="649692"/>
                  </a:xfrm>
                  <a:prstGeom prst="rect">
                    <a:avLst/>
                  </a:prstGeom>
                </pic:spPr>
              </pic:pic>
            </a:graphicData>
          </a:graphic>
        </wp:inline>
      </w:drawing>
    </w:r>
    <w:r w:rsidR="00D02DFB">
      <w:t xml:space="preserve">     </w:t>
    </w:r>
    <w:r w:rsidR="00193E1B">
      <w:rPr>
        <w:lang w:val="en-US"/>
      </w:rPr>
      <w:t xml:space="preserve">     </w:t>
    </w:r>
    <w:r w:rsidR="006B0A4D">
      <w:rPr>
        <w:lang w:val="en-US"/>
      </w:rPr>
      <w:t xml:space="preserve">              </w:t>
    </w:r>
    <w:r w:rsidR="00D02DFB">
      <w:t xml:space="preserve"> </w:t>
    </w:r>
    <w:r w:rsidR="00017580">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659E"/>
    <w:rsid w:val="00017580"/>
    <w:rsid w:val="00083357"/>
    <w:rsid w:val="00102D7B"/>
    <w:rsid w:val="00152128"/>
    <w:rsid w:val="001539CF"/>
    <w:rsid w:val="00193E1B"/>
    <w:rsid w:val="001C5801"/>
    <w:rsid w:val="001E7ED8"/>
    <w:rsid w:val="002570B0"/>
    <w:rsid w:val="002A1A72"/>
    <w:rsid w:val="002B659E"/>
    <w:rsid w:val="00315990"/>
    <w:rsid w:val="00327D34"/>
    <w:rsid w:val="00327E86"/>
    <w:rsid w:val="00335533"/>
    <w:rsid w:val="00396063"/>
    <w:rsid w:val="003C77EA"/>
    <w:rsid w:val="003E3623"/>
    <w:rsid w:val="00442855"/>
    <w:rsid w:val="0046132A"/>
    <w:rsid w:val="00461793"/>
    <w:rsid w:val="005A3B78"/>
    <w:rsid w:val="00671F5C"/>
    <w:rsid w:val="006B0A4D"/>
    <w:rsid w:val="006E2D0A"/>
    <w:rsid w:val="00702393"/>
    <w:rsid w:val="00722D19"/>
    <w:rsid w:val="008535F4"/>
    <w:rsid w:val="008A7236"/>
    <w:rsid w:val="008E7DF6"/>
    <w:rsid w:val="0091354D"/>
    <w:rsid w:val="00940023"/>
    <w:rsid w:val="0094655E"/>
    <w:rsid w:val="009E6904"/>
    <w:rsid w:val="00A23573"/>
    <w:rsid w:val="00A3430C"/>
    <w:rsid w:val="00A45B15"/>
    <w:rsid w:val="00A81D5F"/>
    <w:rsid w:val="00B31BDB"/>
    <w:rsid w:val="00BD7730"/>
    <w:rsid w:val="00C16D9C"/>
    <w:rsid w:val="00CB275A"/>
    <w:rsid w:val="00CF5BD5"/>
    <w:rsid w:val="00D02DFB"/>
    <w:rsid w:val="00D12DA8"/>
    <w:rsid w:val="00DB660C"/>
    <w:rsid w:val="00EE78AD"/>
    <w:rsid w:val="00F15AE6"/>
    <w:rsid w:val="00F173BA"/>
    <w:rsid w:val="00F96E54"/>
    <w:rsid w:val="00FD75D8"/>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46B71"/>
  <w15:docId w15:val="{1A075201-8F3B-43F2-9EE2-2AE2FCFDF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paragraph" w:styleId="a8">
    <w:name w:val="Balloon Text"/>
    <w:basedOn w:val="a"/>
    <w:link w:val="a9"/>
    <w:uiPriority w:val="99"/>
    <w:semiHidden/>
    <w:unhideWhenUsed/>
    <w:rsid w:val="00A81D5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81D5F"/>
    <w:rPr>
      <w:rFonts w:ascii="Tahoma" w:hAnsi="Tahoma" w:cs="Tahoma"/>
      <w:sz w:val="16"/>
      <w:szCs w:val="16"/>
    </w:rPr>
  </w:style>
  <w:style w:type="character" w:styleId="aa">
    <w:name w:val="Hyperlink"/>
    <w:basedOn w:val="a0"/>
    <w:uiPriority w:val="99"/>
    <w:unhideWhenUsed/>
    <w:rsid w:val="00FD75D8"/>
    <w:rPr>
      <w:color w:val="0563C1" w:themeColor="hyperlink"/>
      <w:u w:val="single"/>
    </w:rPr>
  </w:style>
  <w:style w:type="character" w:styleId="ab">
    <w:name w:val="Unresolved Mention"/>
    <w:basedOn w:val="a0"/>
    <w:uiPriority w:val="99"/>
    <w:semiHidden/>
    <w:unhideWhenUsed/>
    <w:rsid w:val="00FD75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ok.ru/profile/57668987717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zakonpravo.kz/publikacii/"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2</Pages>
  <Words>813</Words>
  <Characters>4637</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38</cp:revision>
  <cp:lastPrinted>2021-08-17T09:04:00Z</cp:lastPrinted>
  <dcterms:created xsi:type="dcterms:W3CDTF">2021-08-13T09:00:00Z</dcterms:created>
  <dcterms:modified xsi:type="dcterms:W3CDTF">2021-12-02T17:17:00Z</dcterms:modified>
</cp:coreProperties>
</file>