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18710512" w:rsidR="00F173BA" w:rsidRPr="0045392F" w:rsidRDefault="0045392F" w:rsidP="0045392F">
      <w:pPr>
        <w:jc w:val="center"/>
        <w:rPr>
          <w:rFonts w:ascii="Times New Roman" w:hAnsi="Times New Roman" w:cs="Times New Roman"/>
          <w:b/>
          <w:bCs/>
          <w:sz w:val="24"/>
          <w:szCs w:val="24"/>
        </w:rPr>
      </w:pPr>
      <w:r w:rsidRPr="0045392F">
        <w:rPr>
          <w:rFonts w:ascii="Times New Roman" w:hAnsi="Times New Roman" w:cs="Times New Roman"/>
          <w:b/>
          <w:bCs/>
          <w:sz w:val="24"/>
          <w:szCs w:val="24"/>
          <w:lang w:val="kk-KZ"/>
        </w:rPr>
        <w:t>Б</w:t>
      </w:r>
      <w:proofErr w:type="spellStart"/>
      <w:r w:rsidRPr="0045392F">
        <w:rPr>
          <w:rFonts w:ascii="Times New Roman" w:hAnsi="Times New Roman" w:cs="Times New Roman"/>
          <w:b/>
          <w:bCs/>
          <w:sz w:val="24"/>
          <w:szCs w:val="24"/>
        </w:rPr>
        <w:t>езопасность</w:t>
      </w:r>
      <w:proofErr w:type="spellEnd"/>
      <w:r w:rsidRPr="0045392F">
        <w:rPr>
          <w:rFonts w:ascii="Times New Roman" w:hAnsi="Times New Roman" w:cs="Times New Roman"/>
          <w:b/>
          <w:bCs/>
          <w:sz w:val="24"/>
          <w:szCs w:val="24"/>
        </w:rPr>
        <w:t xml:space="preserve"> движения и эксплуатации на транспорте, жизнь и здоровье человека</w:t>
      </w:r>
    </w:p>
    <w:p w14:paraId="7575C34E" w14:textId="77777777" w:rsidR="000F4E4D" w:rsidRDefault="000F4E4D" w:rsidP="000F4E4D">
      <w:pPr>
        <w:jc w:val="both"/>
        <w:rPr>
          <w:rFonts w:ascii="Times New Roman" w:hAnsi="Times New Roman" w:cs="Times New Roman"/>
          <w:sz w:val="24"/>
          <w:szCs w:val="24"/>
        </w:rPr>
      </w:pPr>
    </w:p>
    <w:p w14:paraId="408D5A29"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 Статья 345 УК охраняет два объекта: безопасность движения и эксплуатации на транспорте, а также жизнь и здоровье человека. К числу погибших относятся не только умершие на месте происшествия, но и скончавшиеся позже от полученных травм в результате </w:t>
      </w:r>
      <w:proofErr w:type="spellStart"/>
      <w:r w:rsidRPr="000F4E4D">
        <w:rPr>
          <w:rFonts w:ascii="Times New Roman" w:hAnsi="Times New Roman" w:cs="Times New Roman"/>
          <w:sz w:val="24"/>
          <w:szCs w:val="24"/>
        </w:rPr>
        <w:t>дорожнотранспортного</w:t>
      </w:r>
      <w:proofErr w:type="spellEnd"/>
      <w:r w:rsidRPr="000F4E4D">
        <w:rPr>
          <w:rFonts w:ascii="Times New Roman" w:hAnsi="Times New Roman" w:cs="Times New Roman"/>
          <w:sz w:val="24"/>
          <w:szCs w:val="24"/>
        </w:rPr>
        <w:t xml:space="preserve"> происшествия (далее – ДТП). Даже если смерть потерпевшего (потерпевших) наступила через некоторое время после ДТП от полученных травм в результате ДТП, эти последствия должны подпадать под признаки квалифицированного состава (частей 3 и 4 статьи 345 УК). </w:t>
      </w:r>
    </w:p>
    <w:p w14:paraId="70AA2B10" w14:textId="7D71F9F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При этом наступившие последствия должны находиться в непосредственной причинной связи с допущенными нарушениями ПДД или ЭТС). Так, согласно пункту 6 НПВС от 29 июня 2011 года № 3 «</w:t>
      </w:r>
      <w:hyperlink r:id="rId6" w:history="1">
        <w:r w:rsidRPr="002760A2">
          <w:rPr>
            <w:rStyle w:val="aa"/>
            <w:rFonts w:ascii="Times New Roman" w:hAnsi="Times New Roman" w:cs="Times New Roman"/>
            <w:sz w:val="24"/>
            <w:szCs w:val="24"/>
          </w:rPr>
          <w:t>О практике применения уголовного законодательства по делам об</w:t>
        </w:r>
      </w:hyperlink>
      <w:r w:rsidRPr="000F4E4D">
        <w:rPr>
          <w:rFonts w:ascii="Times New Roman" w:hAnsi="Times New Roman" w:cs="Times New Roman"/>
          <w:sz w:val="24"/>
          <w:szCs w:val="24"/>
        </w:rPr>
        <w:t xml:space="preserve"> уголовных правонарушениях, связанных с нарушением правил дорожного движения и эксплуатации транспортных средств», нарушения ПДД или эксплуатации ТС, которые не состоят в причинной связи с наступившими общественно опасными последствиями (например, отсутствие у водителя в момент ДТП водительского удостоверения), не могут образовывать объективную сторону названных уголовных правонарушений и подлежат исключению из обвинения. </w:t>
      </w:r>
    </w:p>
    <w:p w14:paraId="660D11A6"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Для квалификации важно, чтобы наступившие последствия находились в непосредственной причинной связи с допущенными нарушениями ПДД или ЭТС и наступившими вредными последствиями. 2. Законом Республики Казахстан от 27 декабря 2019 года за № 292-VІ «О внесении изменений и дополнений в некоторые законодательные акты Республики Казахстан по вопросам совершенствования уголовного, уголовно-процессуального законодательства и усиления защиты прав личности» (далее – Закон РК) Уголовный кодекс дополнен статьей 345-1, предусматривающей ответственность за нарушение ПДД или ЭТС лицами, управляющими ТС в состоянии алкогольного, наркотического и (или) </w:t>
      </w:r>
      <w:proofErr w:type="spellStart"/>
      <w:r w:rsidRPr="000F4E4D">
        <w:rPr>
          <w:rFonts w:ascii="Times New Roman" w:hAnsi="Times New Roman" w:cs="Times New Roman"/>
          <w:sz w:val="24"/>
          <w:szCs w:val="24"/>
        </w:rPr>
        <w:t>токсикоманического</w:t>
      </w:r>
      <w:proofErr w:type="spellEnd"/>
      <w:r w:rsidRPr="000F4E4D">
        <w:rPr>
          <w:rFonts w:ascii="Times New Roman" w:hAnsi="Times New Roman" w:cs="Times New Roman"/>
          <w:sz w:val="24"/>
          <w:szCs w:val="24"/>
        </w:rPr>
        <w:t xml:space="preserve"> опьянения. </w:t>
      </w:r>
    </w:p>
    <w:p w14:paraId="36169226"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Данные изменения введены в действие с 11 января 2020 года и направлены на ужесточение ответственности за совершение указанных уголовных правонарушений. Касательно введенной нормы – статьи </w:t>
      </w:r>
      <w:proofErr w:type="gramStart"/>
      <w:r w:rsidRPr="000F4E4D">
        <w:rPr>
          <w:rFonts w:ascii="Times New Roman" w:hAnsi="Times New Roman" w:cs="Times New Roman"/>
          <w:sz w:val="24"/>
          <w:szCs w:val="24"/>
        </w:rPr>
        <w:t>345-1</w:t>
      </w:r>
      <w:proofErr w:type="gramEnd"/>
      <w:r w:rsidRPr="000F4E4D">
        <w:rPr>
          <w:rFonts w:ascii="Times New Roman" w:hAnsi="Times New Roman" w:cs="Times New Roman"/>
          <w:sz w:val="24"/>
          <w:szCs w:val="24"/>
        </w:rPr>
        <w:t xml:space="preserve"> УК: объектом данного уголовного правонарушения являются общественные отношения в сфере обеспечения безопасности движения или ЭТС. Уголовная ответственность за данное правонарушение, как и за нарушение по статье 345 УК, наступает лишь в случае, если нарушение правил дорожного движения или эксплуатации транспортных средств повлекло за собой последствия в виде неосторожного причинения среднего или тяжкого вреда здоровью человека, либо смерть одного или более лиц. Преступный характер поведения лица выражается в управлении ТС в состоянии алкогольного, наркотического и (или) </w:t>
      </w:r>
      <w:proofErr w:type="spellStart"/>
      <w:r w:rsidRPr="000F4E4D">
        <w:rPr>
          <w:rFonts w:ascii="Times New Roman" w:hAnsi="Times New Roman" w:cs="Times New Roman"/>
          <w:sz w:val="24"/>
          <w:szCs w:val="24"/>
        </w:rPr>
        <w:t>токсикоманического</w:t>
      </w:r>
      <w:proofErr w:type="spellEnd"/>
      <w:r w:rsidRPr="000F4E4D">
        <w:rPr>
          <w:rFonts w:ascii="Times New Roman" w:hAnsi="Times New Roman" w:cs="Times New Roman"/>
          <w:sz w:val="24"/>
          <w:szCs w:val="24"/>
        </w:rPr>
        <w:t xml:space="preserve"> опьянения. Диспозицией части 1 статьи </w:t>
      </w:r>
      <w:proofErr w:type="gramStart"/>
      <w:r w:rsidRPr="000F4E4D">
        <w:rPr>
          <w:rFonts w:ascii="Times New Roman" w:hAnsi="Times New Roman" w:cs="Times New Roman"/>
          <w:sz w:val="24"/>
          <w:szCs w:val="24"/>
        </w:rPr>
        <w:t>345-1</w:t>
      </w:r>
      <w:proofErr w:type="gramEnd"/>
      <w:r w:rsidRPr="000F4E4D">
        <w:rPr>
          <w:rFonts w:ascii="Times New Roman" w:hAnsi="Times New Roman" w:cs="Times New Roman"/>
          <w:sz w:val="24"/>
          <w:szCs w:val="24"/>
        </w:rPr>
        <w:t xml:space="preserve"> УК уже охватывается неосторожное причинение средней тяжести вреда здоровью человека, в целом субъективная сторона правонарушения характеризуется неосторожной формой вины (до внесения изменений в УК). Для субъекта правонарушения, предусмотренного статьей </w:t>
      </w:r>
      <w:proofErr w:type="gramStart"/>
      <w:r w:rsidRPr="000F4E4D">
        <w:rPr>
          <w:rFonts w:ascii="Times New Roman" w:hAnsi="Times New Roman" w:cs="Times New Roman"/>
          <w:sz w:val="24"/>
          <w:szCs w:val="24"/>
        </w:rPr>
        <w:t>345-1</w:t>
      </w:r>
      <w:proofErr w:type="gramEnd"/>
      <w:r w:rsidRPr="000F4E4D">
        <w:rPr>
          <w:rFonts w:ascii="Times New Roman" w:hAnsi="Times New Roman" w:cs="Times New Roman"/>
          <w:sz w:val="24"/>
          <w:szCs w:val="24"/>
        </w:rPr>
        <w:t xml:space="preserve"> УК, в отличие от предыдущей статьи, требуется обязательное подтверждение факта нахождения виновного лица в состоянии алкогольного или иного опьянения. </w:t>
      </w:r>
    </w:p>
    <w:p w14:paraId="3F350190"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Этим же Законом часть 1 статьи 346 УК переведена из уголовных проступков в категорию преступлений средней тяжести; квалифицированные составы из преступлений </w:t>
      </w:r>
      <w:r w:rsidRPr="000F4E4D">
        <w:rPr>
          <w:rFonts w:ascii="Times New Roman" w:hAnsi="Times New Roman" w:cs="Times New Roman"/>
          <w:sz w:val="24"/>
          <w:szCs w:val="24"/>
        </w:rPr>
        <w:lastRenderedPageBreak/>
        <w:t xml:space="preserve">небольшой и средней тяжести - в тяжкие. Данная статья дополнена частью 2, предусматривающей ответственность по признаку «повлекшие по неосторожности повреждение транспортных средств, грузов, дорожных и иных сооружений либо иного имущества, а равно причинение легкого вреда здоровью человека». </w:t>
      </w:r>
    </w:p>
    <w:p w14:paraId="16824EFA"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Общественная опасность деяния по вышеуказанной статье обусловлена тем, что у водителей, находящихся в состоянии опьянения, резко снижается реакция, нарушается координация движений, теряется способность правильно оценивать дорожную обстановку и выбирать верное решение в складывающейся ситуации, что приводит к ДТП. 4. По каждому уголовному делу указанной категории суд обязан принять все предусмотренные законом меры для всестороннего, полного и объективного разрешения дела. Давать правильную оценку собранным доказательствам, в том числе фактическим данным. </w:t>
      </w:r>
    </w:p>
    <w:p w14:paraId="035E13A9"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Зачастую составленные сотрудниками дорожной полиции протоколы осмотра места ДТП и ТС содержат неполноту: не описываются подробно следы повреждений, направление, форма и расположение деформаций на ТС, что влияет на правильность установления исходных данных, достоверность судебных экспертиз ДТП. 5. В соответствии с положениями пункта 9) части 2 статьи 322 УПК и разъяснениями пункта 3 НПВС «О рассмотрении судами уголовных дел в сокращенном порядке» по делам, где имеются предусмотренные частью 1 статьи 382 УПК условия, в целях оперативного рассмотрения и упрощения судебных процедур, назначать и проводить главное судебное разбирательство дела в сокращенном порядке. При назначении наказания по делам, рассмотренным в порядке приказного производства, строго соблюдать требования закона. </w:t>
      </w:r>
    </w:p>
    <w:p w14:paraId="631C91CD"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В частности, согласно части 3 статьи 55 УК по делам, по которым обвинительный приговор вынесен в порядке приказного производства, штраф назначается в размере от 10 до 20 МРП при совершении уголовного проступка, от 50 до 200 МРП - при совершении преступления небольшой тяжести. 6. Судьям следует тщательно проверять соблюдение требований пункта 22) статьи 71, </w:t>
      </w:r>
      <w:proofErr w:type="gramStart"/>
      <w:r w:rsidRPr="000F4E4D">
        <w:rPr>
          <w:rFonts w:ascii="Times New Roman" w:hAnsi="Times New Roman" w:cs="Times New Roman"/>
          <w:sz w:val="24"/>
          <w:szCs w:val="24"/>
        </w:rPr>
        <w:t>614-615</w:t>
      </w:r>
      <w:proofErr w:type="gramEnd"/>
      <w:r w:rsidRPr="000F4E4D">
        <w:rPr>
          <w:rFonts w:ascii="Times New Roman" w:hAnsi="Times New Roman" w:cs="Times New Roman"/>
          <w:sz w:val="24"/>
          <w:szCs w:val="24"/>
        </w:rPr>
        <w:t xml:space="preserve"> УПК при заключении процессуальных соглашений. В целях обеспечения реализации прав потерпевших в согласительном производстве требовать от стороны обвинения и приобщать к делу написанное собственноручно потерпевшим мнение по вопросу заключения процессуального соглашения, квалификации, виду, мере наказания, гражданскому иску. </w:t>
      </w:r>
    </w:p>
    <w:p w14:paraId="38FCF7A8"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В случае, когда процессуальное соглашение заключается в период главного судебного разбирательства, разъяснять потерпевшим о намерении сторон заключить процессуальное соглашение и праве возражать против этого. Принимать меры процессуального реагирования на нарушения уголовно-процессуального закона при составлении и заключении процессуальных соглашений путем вынесения частных постановлений в адрес прокурора. 7. Принять меры к недопущению ошибок судами при назначении основного и дополнительного наказаний, освобождении лица от уголовной ответственности и наказания, решении вопросов по гражданскому иску, составлении и оформлении судебных актов. </w:t>
      </w:r>
    </w:p>
    <w:p w14:paraId="6762739A"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Следует учитывать, что прекращение производства осуществляется: - при нарушении процессуального срока, установленного частью 1 статьи 526 УПК, и иных принципов законности - на основании статьи 10 УПК, с признанием недействительными незаконных актов (Целиноградским районным судом Акмолинской области прекращено уголовное дело в отношении О. по части 1 статьи 345 УК в связи с грубейшими нарушениями норм УПК: досудебное расследование в протокольной форме было начато только 17 января 2020 года, сам О. допрошен в качестве подозреваемого лишь 25 апреля 2020 года. Протокол об уголовном проступке в отношении О. по части 1 статьи 345 УК составлен госавтоинспектором только 30 </w:t>
      </w:r>
      <w:r w:rsidRPr="000F4E4D">
        <w:rPr>
          <w:rFonts w:ascii="Times New Roman" w:hAnsi="Times New Roman" w:cs="Times New Roman"/>
          <w:sz w:val="24"/>
          <w:szCs w:val="24"/>
        </w:rPr>
        <w:lastRenderedPageBreak/>
        <w:t xml:space="preserve">мая 2020 года, то есть через 35 дней после его допроса в качестве подозреваемого по делу, без приостановления производства по данному делу в предусмотренном законом порядке или продления по нему процессуальных сроков, в нарушение требований части 1 статьи 526 УПК. В соответствии с частью 1 статьи 50 УПК процессуальные действия, совершенные участниками уголовного процесса по истечении срока, считаются недействительными. </w:t>
      </w:r>
    </w:p>
    <w:p w14:paraId="79FFF67B" w14:textId="77777777" w:rsidR="000F4E4D"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Суд признал все добытые по делу доказательства недействительными); - при отказе государственного обвинителя от обвинения - по данному самостоятельному основанию (отказ государственного обвинителя от обвинения) со ссылкой на статью 337 УПК; - при отсутствии состава уголовного правонарушения на основании пункта 2) части 1 статьи 35 УПК (в предварительном слушании выносится постановление суда, в главном судебном разбирательстве - оправдательный приговор). 9. По делам не всегда проводятся судебные химико-токсикологические и медицинские экспертизы для установления наличия в крови алкоголя и его концентрации. Органы досудебного расследования и суды ограничиваются заключениями медицинского освидетельствования, которые основаны на результатах алкотеста, устанавливающего факт наличия алкоголя в выдыхаемом человеком воздухе. Химико-токсикологическое экспертное исследование проводится по результатам забора крови и позволяет установить конкретно наличие алкоголя в крови </w:t>
      </w:r>
      <w:proofErr w:type="spellStart"/>
      <w:r w:rsidRPr="000F4E4D">
        <w:rPr>
          <w:rFonts w:ascii="Times New Roman" w:hAnsi="Times New Roman" w:cs="Times New Roman"/>
          <w:sz w:val="24"/>
          <w:szCs w:val="24"/>
        </w:rPr>
        <w:t>подэкспертного</w:t>
      </w:r>
      <w:proofErr w:type="spellEnd"/>
      <w:r w:rsidRPr="000F4E4D">
        <w:rPr>
          <w:rFonts w:ascii="Times New Roman" w:hAnsi="Times New Roman" w:cs="Times New Roman"/>
          <w:sz w:val="24"/>
          <w:szCs w:val="24"/>
        </w:rPr>
        <w:t xml:space="preserve">, что служит целям объективного и всестороннего исследования обстоятельств, в том числе по делам, по которым подсудимый оспаривает факт употребления им алкоголя. </w:t>
      </w:r>
    </w:p>
    <w:p w14:paraId="6C3FC290" w14:textId="77777777" w:rsidR="00AB1D7A"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По этой категории дел не всегда назначаются и проводятся </w:t>
      </w:r>
      <w:proofErr w:type="spellStart"/>
      <w:r w:rsidRPr="000F4E4D">
        <w:rPr>
          <w:rFonts w:ascii="Times New Roman" w:hAnsi="Times New Roman" w:cs="Times New Roman"/>
          <w:sz w:val="24"/>
          <w:szCs w:val="24"/>
        </w:rPr>
        <w:t>судебнонаркологические</w:t>
      </w:r>
      <w:proofErr w:type="spellEnd"/>
      <w:r w:rsidRPr="000F4E4D">
        <w:rPr>
          <w:rFonts w:ascii="Times New Roman" w:hAnsi="Times New Roman" w:cs="Times New Roman"/>
          <w:sz w:val="24"/>
          <w:szCs w:val="24"/>
        </w:rPr>
        <w:t xml:space="preserve"> экспертизы в отношении лиц, совершивших преступления в состоянии алкогольного опьянения. </w:t>
      </w:r>
      <w:proofErr w:type="spellStart"/>
      <w:r w:rsidRPr="000F4E4D">
        <w:rPr>
          <w:rFonts w:ascii="Times New Roman" w:hAnsi="Times New Roman" w:cs="Times New Roman"/>
          <w:sz w:val="24"/>
          <w:szCs w:val="24"/>
        </w:rPr>
        <w:t>Неисследованность</w:t>
      </w:r>
      <w:proofErr w:type="spellEnd"/>
      <w:r w:rsidRPr="000F4E4D">
        <w:rPr>
          <w:rFonts w:ascii="Times New Roman" w:hAnsi="Times New Roman" w:cs="Times New Roman"/>
          <w:sz w:val="24"/>
          <w:szCs w:val="24"/>
        </w:rPr>
        <w:t xml:space="preserve"> вопроса о том, нуждается ли лицо, совершившее преступление в состоянии опьянения, в принудительном лечении, не позволяет в полной мере реализовать цели назначения справедливого наказания, а также профилактику совершения виновным лицом новых уголовных правонарушений. 10. Касательно усиления ответственности в отношении лиц, лишенных права управления ТС и находящихся в нетрезвом состоянии, но, тем не менее, вновь управлявших автотранспортом в нетрезвом виде, помимо указанных мер в статье 346 УК РК, возможно применение статьи 91 УК и признание виновного лица нуждающимся в лечении от алкоголизма, наркомании или токсикомании. </w:t>
      </w:r>
    </w:p>
    <w:p w14:paraId="64DDE7B3" w14:textId="77777777" w:rsidR="00AB1D7A" w:rsidRDefault="00904D9C"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В связи с этим суд, наряду с наказанием, может назначить принудительные меры медицинского характера в виде амбулаторного принудительного наблюдения и лечения у психиатра. Данная мера необходима из-за неоднократности совершения преступления в состоянии алкогольного, наркотического и (или) </w:t>
      </w:r>
      <w:proofErr w:type="spellStart"/>
      <w:r w:rsidRPr="000F4E4D">
        <w:rPr>
          <w:rFonts w:ascii="Times New Roman" w:hAnsi="Times New Roman" w:cs="Times New Roman"/>
          <w:sz w:val="24"/>
          <w:szCs w:val="24"/>
        </w:rPr>
        <w:t>токсикоманического</w:t>
      </w:r>
      <w:proofErr w:type="spellEnd"/>
      <w:r w:rsidRPr="000F4E4D">
        <w:rPr>
          <w:rFonts w:ascii="Times New Roman" w:hAnsi="Times New Roman" w:cs="Times New Roman"/>
          <w:sz w:val="24"/>
          <w:szCs w:val="24"/>
        </w:rPr>
        <w:t xml:space="preserve"> опьянения, что ставит вопрос о дальнейшей возможности рецидива такого преступления. 11. Частью 2 статьи 223 УПК предусмотрено, что о проведении освидетельствования лицо, осуществляющее досудебное расследование, выносит постановление, обязательное для подозреваемого, обвиняемого,</w:t>
      </w:r>
      <w:r w:rsidR="00ED2F78" w:rsidRPr="000F4E4D">
        <w:rPr>
          <w:rFonts w:ascii="Times New Roman" w:hAnsi="Times New Roman" w:cs="Times New Roman"/>
          <w:sz w:val="24"/>
          <w:szCs w:val="24"/>
        </w:rPr>
        <w:t xml:space="preserve"> а также для лица, на которого заявитель прямо указывает как на лицо, совершившее уголовное правонарушение. То есть санкции суда не требуется. </w:t>
      </w:r>
    </w:p>
    <w:p w14:paraId="3C2F8273" w14:textId="77777777" w:rsidR="00AB1D7A" w:rsidRDefault="00ED2F78"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В случае несогласия подозреваемого пройти освидетельствование необходимо производство принудительного освидетельствования с санкции суда, поскольку освидетельствование связано с ограничением конституционного права на неприкосновенность личности. 12. Вступление приговора в законную силу и обращение его к исполнению регламентированы частью 3 статьи 470 УПК. Законодатель ставит конкретные сроки для обращения к исполнению приговора - в течение 3 суток со дня вступления приговора в законную силу или возвращения дела из вышестоящего суда. Каких-либо исключений или оговорок приведения к исполнению штрафа законодатель не предусмотрел. Законом РК от 12 </w:t>
      </w:r>
      <w:r w:rsidRPr="000F4E4D">
        <w:rPr>
          <w:rFonts w:ascii="Times New Roman" w:hAnsi="Times New Roman" w:cs="Times New Roman"/>
          <w:sz w:val="24"/>
          <w:szCs w:val="24"/>
        </w:rPr>
        <w:lastRenderedPageBreak/>
        <w:t xml:space="preserve">июля 2018 года № 180-VІ дополнена статья 41 УК новым правовым понятием «срок уплаты штрафа, установленного приговором суда». </w:t>
      </w:r>
    </w:p>
    <w:p w14:paraId="3C5DAA41" w14:textId="77777777" w:rsidR="00AB1D7A" w:rsidRDefault="00ED2F78"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Судебные исполнители полагают, что в срок уплаты штрафа, установленного приговором суда, не могут производиться исполнительные действия, в связи с чем отказывают в принятии исполнительных листов о взыскании штрафа, что влечет волокиту и излишнюю пересылку исполнительных листов. Законодатель разграничивает правовые понятия «срок уплаты штрафа, установленного приговором суда» от «отсрочка исполнения приговора» (статьи 41 УК, статьи 475 УПК, пункт 2) статьи 476 УПК, статьи 50 и 51 УИК). Отсрочка исполнения судебного акта означает процессуальное решение суда о переносе на более поздний срок даты обращения судебного акта к принудительному исполнению или даты начала совершения судебным исполнителем исполнительных действий по возбужденному исполнительному производству. Отсрочка от уплаты штрафа предоставляется осужденному лишь на основании его ходатайства в порядке исполнения приговора (часть 2 статьи 50 УИК, часть 3 статьи 475, часть 5 статьи 41 УК), тогда как срок уплаты штрафа устанавливается приговором суда при рассмотрении дела по существу.</w:t>
      </w:r>
    </w:p>
    <w:p w14:paraId="497D76F3" w14:textId="77777777" w:rsidR="00AB1D7A" w:rsidRDefault="00ED2F78"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 Таким образом, понятия «срок уплаты штрафа, установленного приговором суда» и «отсрочка исполнения приговора» не тождественны и имеют различный правовой смысл (по части 5 статьи 41 УК – время отсрочки не входит в исчисление срока уплаты штрафа, установленного приговором суда). 13. Следует исключить случаи необоснованного освобождения лиц от уголовной ответственности на основании статьи 68 УК. Судам необходимо учитывать, что часть 1 статьи 68 УК предусматривает освобождение от уголовной ответственности в связи с примирением лица, совершившего уголовный проступок или преступление небольшой или средней тяжести, не связанное с причинением смерти, подлежит освобождению от уголовной ответственности, если оно примирилось с потерпевшим, заявителем, в том числе в порядке медиации, и загладило причиненный вред. </w:t>
      </w:r>
    </w:p>
    <w:p w14:paraId="2B61F903" w14:textId="77777777" w:rsidR="00AB1D7A" w:rsidRDefault="00ED2F78"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При назначении уголовного наказания по делам указанной категории судам следует соблюдать общие правила назначения наказания, указанные в статье 52 УК: степень опьянения подсудимого при совершении уголовного правонарушения, характер и размер причиненного или возможного вреда, также влияние на назначение наказания лиц, находящихся на иждивении подсудимого (малолетние дети, дети-инвалиды, единственный кормилец родителей-инвалидов, тяжело больных, престарелых и т.д.), наличие смягчающих и отягчающих ответственность и наказание обстоятельств. 15. По данной категории уголовных правонарушений транспортные средства не могут быть отнесены к орудиям или средствам их совершения и, соответственно, конфискованы по пункту 1) части 3 статьи 118 УПК, потому что использование транспортных средств является неотъемлемым признаком объективной стороны уголовного правонарушения. </w:t>
      </w:r>
    </w:p>
    <w:p w14:paraId="59621772" w14:textId="77777777" w:rsidR="002760A2" w:rsidRDefault="00ED2F78"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t xml:space="preserve">Водителем ТС используется в целях извлечения его полезных свойств (как средство передвижения), а не для умышленного достижения преступного результата в виде причинения вреда другому (другим) лицу либо повреждения имущества. Такие последствия наступают по неосторожной вине лица, управляющего ТС. Следует иметь в виду, что ТС выступают в качестве предметов совершения уголовных правонарушений, через которые </w:t>
      </w:r>
      <w:proofErr w:type="spellStart"/>
      <w:r w:rsidRPr="000F4E4D">
        <w:rPr>
          <w:rFonts w:ascii="Times New Roman" w:hAnsi="Times New Roman" w:cs="Times New Roman"/>
          <w:sz w:val="24"/>
          <w:szCs w:val="24"/>
        </w:rPr>
        <w:t>опосредственно</w:t>
      </w:r>
      <w:proofErr w:type="spellEnd"/>
      <w:r w:rsidRPr="000F4E4D">
        <w:rPr>
          <w:rFonts w:ascii="Times New Roman" w:hAnsi="Times New Roman" w:cs="Times New Roman"/>
          <w:sz w:val="24"/>
          <w:szCs w:val="24"/>
        </w:rPr>
        <w:t xml:space="preserve"> (поскольку главная цель водителей - извлечение их полезных свойств в целях передвижения) осуществляется посягательство на объект преступления: на охраняемые законом общественные отношения по защите материальных и идеальных благ в сфере безопасности дорожного движения и эксплуатации ТС. </w:t>
      </w:r>
    </w:p>
    <w:p w14:paraId="1C113091" w14:textId="540929F0" w:rsidR="00F173BA" w:rsidRPr="000F4E4D" w:rsidRDefault="00ED2F78" w:rsidP="000F4E4D">
      <w:pPr>
        <w:ind w:firstLine="720"/>
        <w:jc w:val="both"/>
        <w:rPr>
          <w:rFonts w:ascii="Times New Roman" w:hAnsi="Times New Roman" w:cs="Times New Roman"/>
          <w:sz w:val="24"/>
          <w:szCs w:val="24"/>
        </w:rPr>
      </w:pPr>
      <w:r w:rsidRPr="000F4E4D">
        <w:rPr>
          <w:rFonts w:ascii="Times New Roman" w:hAnsi="Times New Roman" w:cs="Times New Roman"/>
          <w:sz w:val="24"/>
          <w:szCs w:val="24"/>
        </w:rPr>
        <w:lastRenderedPageBreak/>
        <w:t xml:space="preserve">Следовательно, ТС не может быть признано средством или орудием преступления. 16. В целях обеспечения судебного контроля судам по результатам рассмотрения дел данной категории необходимо выносить </w:t>
      </w:r>
      <w:hyperlink r:id="rId7" w:history="1">
        <w:r w:rsidRPr="002760A2">
          <w:rPr>
            <w:rStyle w:val="aa"/>
            <w:rFonts w:ascii="Times New Roman" w:hAnsi="Times New Roman" w:cs="Times New Roman"/>
            <w:sz w:val="24"/>
            <w:szCs w:val="24"/>
          </w:rPr>
          <w:t>частные постановления по фактам нарушения органами</w:t>
        </w:r>
      </w:hyperlink>
      <w:r w:rsidRPr="000F4E4D">
        <w:rPr>
          <w:rFonts w:ascii="Times New Roman" w:hAnsi="Times New Roman" w:cs="Times New Roman"/>
          <w:sz w:val="24"/>
          <w:szCs w:val="24"/>
        </w:rPr>
        <w:t xml:space="preserve"> уголовного преследования норм УПК, касающихся порядка сбора и закрепления доказательств.</w:t>
      </w:r>
    </w:p>
    <w:p w14:paraId="1D196CDE" w14:textId="737247FA" w:rsidR="00F173BA" w:rsidRPr="000F4E4D" w:rsidRDefault="00F173BA" w:rsidP="000F4E4D">
      <w:pPr>
        <w:jc w:val="both"/>
        <w:rPr>
          <w:rFonts w:ascii="Times New Roman" w:hAnsi="Times New Roman" w:cs="Times New Roman"/>
          <w:sz w:val="24"/>
          <w:szCs w:val="24"/>
        </w:rPr>
      </w:pPr>
    </w:p>
    <w:p w14:paraId="02403F08" w14:textId="75BEB719" w:rsidR="00F173BA" w:rsidRPr="000F4E4D" w:rsidRDefault="00F173BA" w:rsidP="000F4E4D">
      <w:pPr>
        <w:jc w:val="both"/>
        <w:rPr>
          <w:rFonts w:ascii="Times New Roman" w:hAnsi="Times New Roman" w:cs="Times New Roman"/>
          <w:sz w:val="24"/>
          <w:szCs w:val="24"/>
        </w:rPr>
      </w:pPr>
    </w:p>
    <w:p w14:paraId="308325D5" w14:textId="324F2E94" w:rsidR="00F173BA" w:rsidRPr="000F4E4D" w:rsidRDefault="00F173BA" w:rsidP="000F4E4D">
      <w:pPr>
        <w:jc w:val="both"/>
        <w:rPr>
          <w:rFonts w:ascii="Times New Roman" w:hAnsi="Times New Roman" w:cs="Times New Roman"/>
          <w:sz w:val="24"/>
          <w:szCs w:val="24"/>
        </w:rPr>
      </w:pPr>
    </w:p>
    <w:p w14:paraId="22BAA135" w14:textId="6CC745FE" w:rsidR="00F173BA" w:rsidRPr="000F4E4D" w:rsidRDefault="00F173BA" w:rsidP="000F4E4D">
      <w:pPr>
        <w:jc w:val="both"/>
        <w:rPr>
          <w:rFonts w:ascii="Times New Roman" w:hAnsi="Times New Roman" w:cs="Times New Roman"/>
          <w:sz w:val="24"/>
          <w:szCs w:val="24"/>
        </w:rPr>
      </w:pPr>
    </w:p>
    <w:p w14:paraId="33D51603" w14:textId="10BA4AEF" w:rsidR="00F173BA" w:rsidRPr="000F4E4D" w:rsidRDefault="00F173BA" w:rsidP="000F4E4D">
      <w:pPr>
        <w:jc w:val="both"/>
        <w:rPr>
          <w:rFonts w:ascii="Times New Roman" w:hAnsi="Times New Roman" w:cs="Times New Roman"/>
          <w:sz w:val="24"/>
          <w:szCs w:val="24"/>
        </w:rPr>
      </w:pPr>
    </w:p>
    <w:p w14:paraId="55D95E22" w14:textId="0EFD17BF" w:rsidR="00F173BA" w:rsidRPr="000F4E4D" w:rsidRDefault="00F173BA" w:rsidP="000F4E4D">
      <w:pPr>
        <w:jc w:val="both"/>
        <w:rPr>
          <w:rFonts w:ascii="Times New Roman" w:hAnsi="Times New Roman" w:cs="Times New Roman"/>
          <w:sz w:val="24"/>
          <w:szCs w:val="24"/>
        </w:rPr>
      </w:pPr>
    </w:p>
    <w:p w14:paraId="1E84A240" w14:textId="61513D00" w:rsidR="00F173BA" w:rsidRPr="000F4E4D" w:rsidRDefault="00F173BA" w:rsidP="000F4E4D">
      <w:pPr>
        <w:jc w:val="both"/>
        <w:rPr>
          <w:rFonts w:ascii="Times New Roman" w:hAnsi="Times New Roman" w:cs="Times New Roman"/>
          <w:sz w:val="24"/>
          <w:szCs w:val="24"/>
        </w:rPr>
      </w:pPr>
    </w:p>
    <w:p w14:paraId="049E1B58" w14:textId="408BB97D" w:rsidR="00F173BA" w:rsidRPr="000F4E4D" w:rsidRDefault="00F173BA" w:rsidP="000F4E4D">
      <w:pPr>
        <w:jc w:val="both"/>
        <w:rPr>
          <w:rFonts w:ascii="Times New Roman" w:hAnsi="Times New Roman" w:cs="Times New Roman"/>
          <w:sz w:val="24"/>
          <w:szCs w:val="24"/>
        </w:rPr>
      </w:pPr>
    </w:p>
    <w:p w14:paraId="3F19C72F" w14:textId="49CAEBA5" w:rsidR="00F173BA" w:rsidRPr="000F4E4D" w:rsidRDefault="00F173BA" w:rsidP="000F4E4D">
      <w:pPr>
        <w:tabs>
          <w:tab w:val="left" w:pos="6948"/>
        </w:tabs>
        <w:jc w:val="both"/>
        <w:rPr>
          <w:rFonts w:ascii="Times New Roman" w:hAnsi="Times New Roman" w:cs="Times New Roman"/>
          <w:sz w:val="24"/>
          <w:szCs w:val="24"/>
        </w:rPr>
      </w:pPr>
      <w:r w:rsidRPr="000F4E4D">
        <w:rPr>
          <w:rFonts w:ascii="Times New Roman" w:hAnsi="Times New Roman" w:cs="Times New Roman"/>
          <w:sz w:val="24"/>
          <w:szCs w:val="24"/>
        </w:rPr>
        <w:tab/>
      </w:r>
    </w:p>
    <w:sectPr w:rsidR="00F173BA" w:rsidRPr="000F4E4D"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F1A1A" w14:textId="77777777" w:rsidR="00EA329E" w:rsidRDefault="00EA329E" w:rsidP="00702393">
      <w:pPr>
        <w:spacing w:after="0" w:line="240" w:lineRule="auto"/>
      </w:pPr>
      <w:r>
        <w:separator/>
      </w:r>
    </w:p>
  </w:endnote>
  <w:endnote w:type="continuationSeparator" w:id="0">
    <w:p w14:paraId="37BB0BC7" w14:textId="77777777" w:rsidR="00EA329E" w:rsidRDefault="00EA329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8D251" w14:textId="77777777" w:rsidR="00EA329E" w:rsidRDefault="00EA329E" w:rsidP="00702393">
      <w:pPr>
        <w:spacing w:after="0" w:line="240" w:lineRule="auto"/>
      </w:pPr>
      <w:r>
        <w:separator/>
      </w:r>
    </w:p>
  </w:footnote>
  <w:footnote w:type="continuationSeparator" w:id="0">
    <w:p w14:paraId="74DFE414" w14:textId="77777777" w:rsidR="00EA329E" w:rsidRDefault="00EA329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F4E4D"/>
    <w:rsid w:val="00102D7B"/>
    <w:rsid w:val="00152128"/>
    <w:rsid w:val="001539CF"/>
    <w:rsid w:val="00193E1B"/>
    <w:rsid w:val="001C5801"/>
    <w:rsid w:val="001E7ED8"/>
    <w:rsid w:val="002570B0"/>
    <w:rsid w:val="002760A2"/>
    <w:rsid w:val="002A1A72"/>
    <w:rsid w:val="002B659E"/>
    <w:rsid w:val="00315990"/>
    <w:rsid w:val="00327D34"/>
    <w:rsid w:val="00327E86"/>
    <w:rsid w:val="00396063"/>
    <w:rsid w:val="003C77EA"/>
    <w:rsid w:val="003E3623"/>
    <w:rsid w:val="00442855"/>
    <w:rsid w:val="0045392F"/>
    <w:rsid w:val="00461793"/>
    <w:rsid w:val="005A3B78"/>
    <w:rsid w:val="006B0A4D"/>
    <w:rsid w:val="006E2D0A"/>
    <w:rsid w:val="00702393"/>
    <w:rsid w:val="00722D19"/>
    <w:rsid w:val="00820DCD"/>
    <w:rsid w:val="008A7236"/>
    <w:rsid w:val="008E7DF6"/>
    <w:rsid w:val="00904D9C"/>
    <w:rsid w:val="0091354D"/>
    <w:rsid w:val="00940023"/>
    <w:rsid w:val="0094655E"/>
    <w:rsid w:val="009E6904"/>
    <w:rsid w:val="00A23573"/>
    <w:rsid w:val="00A45B15"/>
    <w:rsid w:val="00A81D5F"/>
    <w:rsid w:val="00AB1D7A"/>
    <w:rsid w:val="00B31BDB"/>
    <w:rsid w:val="00BD7730"/>
    <w:rsid w:val="00C16D9C"/>
    <w:rsid w:val="00CB275A"/>
    <w:rsid w:val="00CF5BD5"/>
    <w:rsid w:val="00D02DFB"/>
    <w:rsid w:val="00DB660C"/>
    <w:rsid w:val="00EA329E"/>
    <w:rsid w:val="00ED2F78"/>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760A2"/>
    <w:rPr>
      <w:color w:val="0563C1" w:themeColor="hyperlink"/>
      <w:u w:val="single"/>
    </w:rPr>
  </w:style>
  <w:style w:type="character" w:styleId="ab">
    <w:name w:val="Unresolved Mention"/>
    <w:basedOn w:val="a0"/>
    <w:uiPriority w:val="99"/>
    <w:semiHidden/>
    <w:unhideWhenUsed/>
    <w:rsid w:val="00276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2209</Words>
  <Characters>12597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2021-12-16T07:53:00Z</dcterms:modified>
</cp:coreProperties>
</file>