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28CF7" w14:textId="579AA8BA" w:rsidR="00E562E3" w:rsidRPr="00BB3FB9" w:rsidRDefault="00BB3FB9" w:rsidP="003814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FB9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>ризнани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 xml:space="preserve"> незаконным и отмен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 xml:space="preserve"> уведомления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>о результатах проверки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>Департамент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B3FB9">
        <w:rPr>
          <w:rFonts w:ascii="Times New Roman" w:hAnsi="Times New Roman" w:cs="Times New Roman"/>
          <w:b/>
          <w:bCs/>
          <w:sz w:val="24"/>
          <w:szCs w:val="24"/>
        </w:rPr>
        <w:t xml:space="preserve"> государственных доходов</w:t>
      </w:r>
    </w:p>
    <w:p w14:paraId="28DEDA35" w14:textId="77777777" w:rsidR="00E562E3" w:rsidRPr="00381465" w:rsidRDefault="00E562E3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B22D8E" w14:textId="77777777" w:rsidR="00381465" w:rsidRDefault="00E562E3" w:rsidP="0038146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 xml:space="preserve">АО «С» обратилось с заявлением к Департаменту государственных доходов по Актюбинской области о признании незаконным и отмене уведомления от 28 января 2016 года № 94/1 о результатах проверки. </w:t>
      </w:r>
    </w:p>
    <w:p w14:paraId="05BEC4DB" w14:textId="65EC8BEA" w:rsidR="00381465" w:rsidRDefault="00E562E3" w:rsidP="0038146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 xml:space="preserve">Решением суда города Астана от 1 августа 2016 года заявление удовлетворено частично. Признано незаконным уведомление в части </w:t>
      </w:r>
      <w:hyperlink r:id="rId6" w:history="1">
        <w:r w:rsidRPr="00BE45A3">
          <w:rPr>
            <w:rStyle w:val="aa"/>
            <w:rFonts w:ascii="Times New Roman" w:hAnsi="Times New Roman" w:cs="Times New Roman"/>
            <w:sz w:val="24"/>
            <w:szCs w:val="24"/>
          </w:rPr>
          <w:t>начисления бонуса от организаций</w:t>
        </w:r>
      </w:hyperlink>
      <w:r w:rsidRPr="00381465">
        <w:rPr>
          <w:rFonts w:ascii="Times New Roman" w:hAnsi="Times New Roman" w:cs="Times New Roman"/>
          <w:sz w:val="24"/>
          <w:szCs w:val="24"/>
        </w:rPr>
        <w:t xml:space="preserve"> нефтяного сектора (далее – БКО) в сумме 1 657 775 тенге и пени в сумме 378 450 тенге. Постановлением специализированной судебной коллегии от 2 ноября 2016 года решение изменено. В удовлетворенной части отменено с вынесением нового решения об отказе в удовлетворении заявления. </w:t>
      </w:r>
    </w:p>
    <w:p w14:paraId="52E83365" w14:textId="77777777" w:rsidR="00381465" w:rsidRDefault="00E562E3" w:rsidP="0038146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 xml:space="preserve">Отменяя уведомление, суд первой инстанции взял за основу пояснения специалиста - независимого эксперта ГКЗ о неправомерности начисления бонуса коммерческого обнаружения, так как стандартные работы по геофизическому исследованию, лабораторные испытания проб нефти и газа по уже обнаруженному месторождению не относятся к разведочным работам. </w:t>
      </w:r>
    </w:p>
    <w:p w14:paraId="31EF5B73" w14:textId="0BB49DD6" w:rsidR="00381465" w:rsidRDefault="00E562E3" w:rsidP="0038146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 xml:space="preserve">Суд в решении также указал о </w:t>
      </w:r>
      <w:hyperlink r:id="rId7" w:history="1">
        <w:r w:rsidRPr="00BE45A3">
          <w:rPr>
            <w:rStyle w:val="aa"/>
            <w:rFonts w:ascii="Times New Roman" w:hAnsi="Times New Roman" w:cs="Times New Roman"/>
            <w:sz w:val="24"/>
            <w:szCs w:val="24"/>
          </w:rPr>
          <w:t>недоказанности налоговым органом увеличения запасов месторождения</w:t>
        </w:r>
      </w:hyperlink>
      <w:r w:rsidRPr="00381465">
        <w:rPr>
          <w:rFonts w:ascii="Times New Roman" w:hAnsi="Times New Roman" w:cs="Times New Roman"/>
          <w:sz w:val="24"/>
          <w:szCs w:val="24"/>
        </w:rPr>
        <w:t xml:space="preserve"> в результате проведения дополнительной разведки. Коллегия посчитала выводы суда первой инстанции ошибочными, противоречащими фактическим обстоятельствам дела. Протоколом заседания ГКЗ от 25 сентября 2012 года дополнительно утверждён прирост растворённого газа в объёме 30 млн. куб. м. Коллегия, руководствуясь подпунктом 1) пункта 1 статьи 317, статей 318 и 319 Налогового кодекса, подпунктом 54) статьи 1, пунктом 1 статьи 83, статьей 121 Закона «О недрах и недропользовании», пришла к выводу о том, что утверждение ГКЗ увеличения первоначально установленных извлекаемых запасов газа на 30 млн. </w:t>
      </w:r>
      <w:proofErr w:type="spellStart"/>
      <w:r w:rsidRPr="00381465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381465">
        <w:rPr>
          <w:rFonts w:ascii="Times New Roman" w:hAnsi="Times New Roman" w:cs="Times New Roman"/>
          <w:sz w:val="24"/>
          <w:szCs w:val="24"/>
        </w:rPr>
        <w:t xml:space="preserve">. в совокупности со сведениями о геофизических исследованиях Компании, соответствующих понятию дополнительной разведки, являются основанием для доначисления БКО на физический объём увеличения запасов. </w:t>
      </w:r>
    </w:p>
    <w:p w14:paraId="00379CCD" w14:textId="31089957" w:rsidR="00A81D5F" w:rsidRPr="00381465" w:rsidRDefault="00E562E3" w:rsidP="0038146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1465">
        <w:rPr>
          <w:rFonts w:ascii="Times New Roman" w:hAnsi="Times New Roman" w:cs="Times New Roman"/>
          <w:sz w:val="24"/>
          <w:szCs w:val="24"/>
        </w:rPr>
        <w:t>Установленное п.2.11 протокола ГКЗ 2012 года уменьшение запасов другого вида полезных ископаемых – извлекаемой нефти – не отменяет факта увеличения запасов газа по сравнению с утверждённым протоколом ГКЗ от 20 февраля 2003 года. Следовательно, начисление налоговым органом БКО является правомерным.</w:t>
      </w:r>
      <w:r w:rsidR="00CF5BD5" w:rsidRPr="003814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C911A" w14:textId="77777777" w:rsidR="008C4134" w:rsidRDefault="008C4134" w:rsidP="00702393">
      <w:pPr>
        <w:spacing w:after="0" w:line="240" w:lineRule="auto"/>
      </w:pPr>
      <w:r>
        <w:separator/>
      </w:r>
    </w:p>
  </w:endnote>
  <w:endnote w:type="continuationSeparator" w:id="0">
    <w:p w14:paraId="72DCBAD3" w14:textId="77777777" w:rsidR="008C4134" w:rsidRDefault="008C413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72AAD" w14:textId="77777777" w:rsidR="008C4134" w:rsidRDefault="008C4134" w:rsidP="00702393">
      <w:pPr>
        <w:spacing w:after="0" w:line="240" w:lineRule="auto"/>
      </w:pPr>
      <w:r>
        <w:separator/>
      </w:r>
    </w:p>
  </w:footnote>
  <w:footnote w:type="continuationSeparator" w:id="0">
    <w:p w14:paraId="26C67C03" w14:textId="77777777" w:rsidR="008C4134" w:rsidRDefault="008C413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A54A1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81465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C4134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B3FB9"/>
    <w:rsid w:val="00BD7730"/>
    <w:rsid w:val="00BE45A3"/>
    <w:rsid w:val="00C16D9C"/>
    <w:rsid w:val="00CB275A"/>
    <w:rsid w:val="00CF5BD5"/>
    <w:rsid w:val="00D02DFB"/>
    <w:rsid w:val="00DB660C"/>
    <w:rsid w:val="00E562E3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E45A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E4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2021-10-25T04:03:00Z</dcterms:modified>
</cp:coreProperties>
</file>