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A5F37" w14:textId="4BF4B692" w:rsidR="00C85931" w:rsidRPr="0094084A" w:rsidRDefault="00592D14" w:rsidP="0094084A">
      <w:pPr>
        <w:jc w:val="center"/>
        <w:rPr>
          <w:rFonts w:ascii="Times New Roman" w:hAnsi="Times New Roman" w:cs="Times New Roman"/>
          <w:b/>
          <w:bCs/>
          <w:sz w:val="24"/>
          <w:szCs w:val="24"/>
        </w:rPr>
      </w:pPr>
      <w:r>
        <w:rPr>
          <w:rFonts w:ascii="Times New Roman" w:hAnsi="Times New Roman" w:cs="Times New Roman"/>
          <w:b/>
          <w:bCs/>
          <w:sz w:val="24"/>
          <w:szCs w:val="24"/>
        </w:rPr>
        <w:t>С</w:t>
      </w:r>
      <w:r w:rsidR="006709F0" w:rsidRPr="0094084A">
        <w:rPr>
          <w:rFonts w:ascii="Times New Roman" w:hAnsi="Times New Roman" w:cs="Times New Roman"/>
          <w:b/>
          <w:bCs/>
          <w:sz w:val="24"/>
          <w:szCs w:val="24"/>
        </w:rPr>
        <w:t>уд при рассмотрении ходатайства об отмене арбитражного решения выш</w:t>
      </w:r>
      <w:r>
        <w:rPr>
          <w:rFonts w:ascii="Times New Roman" w:hAnsi="Times New Roman" w:cs="Times New Roman"/>
          <w:b/>
          <w:bCs/>
          <w:sz w:val="24"/>
          <w:szCs w:val="24"/>
        </w:rPr>
        <w:t>ел</w:t>
      </w:r>
      <w:r w:rsidR="006709F0" w:rsidRPr="0094084A">
        <w:rPr>
          <w:rFonts w:ascii="Times New Roman" w:hAnsi="Times New Roman" w:cs="Times New Roman"/>
          <w:b/>
          <w:bCs/>
          <w:sz w:val="24"/>
          <w:szCs w:val="24"/>
        </w:rPr>
        <w:t xml:space="preserve"> за рамки своей компетенции, оценивая законность принятого решения и пересматривая его по существу</w:t>
      </w:r>
    </w:p>
    <w:p w14:paraId="1CA45C18" w14:textId="77777777" w:rsidR="00C85931" w:rsidRPr="0094084A" w:rsidRDefault="00C85931" w:rsidP="00A81D5F">
      <w:pPr>
        <w:jc w:val="both"/>
        <w:rPr>
          <w:rFonts w:ascii="Times New Roman" w:hAnsi="Times New Roman" w:cs="Times New Roman"/>
          <w:sz w:val="24"/>
          <w:szCs w:val="24"/>
        </w:rPr>
      </w:pPr>
    </w:p>
    <w:p w14:paraId="2274A428"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Компания «J» обратилась в суд с ходатайством об отмене решения Состава Арбитража Казахстанского Международного Арбитража по делу № 18\2015\АР от 6 апреля 2016 года о взыскании суммы двойного задатка и неустойки. Определением специализированного межрайонного экономического суда города Алматы от 27 июня 2016 года ходатайство Компании «J» удовлетворено. </w:t>
      </w:r>
    </w:p>
    <w:p w14:paraId="423F3A9C" w14:textId="3209FC09"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Решение Состава Арбитража Казахстанского Арбитражного суда от 6 апреля 2016 года по иску Компании «H» к Компании «J» о </w:t>
      </w:r>
      <w:hyperlink r:id="rId6" w:history="1">
        <w:r w:rsidRPr="00202865">
          <w:rPr>
            <w:rStyle w:val="aa"/>
            <w:rFonts w:ascii="Times New Roman" w:hAnsi="Times New Roman" w:cs="Times New Roman"/>
            <w:sz w:val="24"/>
            <w:szCs w:val="24"/>
          </w:rPr>
          <w:t>взыскании суммы двойного задатка и неустойки</w:t>
        </w:r>
      </w:hyperlink>
      <w:r w:rsidRPr="0094084A">
        <w:rPr>
          <w:rFonts w:ascii="Times New Roman" w:hAnsi="Times New Roman" w:cs="Times New Roman"/>
          <w:sz w:val="24"/>
          <w:szCs w:val="24"/>
        </w:rPr>
        <w:t xml:space="preserve"> отменено. </w:t>
      </w:r>
    </w:p>
    <w:p w14:paraId="4D3FA793"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Определением судебной коллегии по гражданским делам Алматинского городского суда от 10 августа 2016 года определение суда первой инстанции оставлено без изменения. Судебная коллегия по гражданским делам Верховного Суда отменила судебные акты местных судов и ходатайство Компании «J» об отмене решения Состава Арбитража Казахстанского Международного Арбитража по делу № 18\2015\АР от 6 апреля 2016 года оставила без удовлетворения по следующим основаниям. </w:t>
      </w:r>
    </w:p>
    <w:p w14:paraId="637B2C09"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Согласно пункту 1 статьи 53 Закона Республики Казахстан «Об арбитраже» ходатайство об отмене арбитражного решения подается в местный суд в соответствии с нормами гражданского процессуального законодательства Республики Казахстан. </w:t>
      </w:r>
    </w:p>
    <w:p w14:paraId="6F1BDBDE"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Частью 1 статьи 464 ГПК предусмотрено, что такое ходатайство может быть подано сторонами арбитражного разбирательства, третьими лицами, не привлеченными к участию в деле, но в отношении прав и обязанностей которых арбитраж принял решение по основаниям, предусмотренным законом, в течение одного месяца со дня получения арбитражного решения. Суд первой инстанции, отменяя решение арбитражного суда от 6 апреля 2016 года, сослался на нарушения законности и публичного порядка Республики Казахстан. с данными выводами суда согласилась и апелляционная коллегия Алматинского городского суда. </w:t>
      </w:r>
    </w:p>
    <w:p w14:paraId="0BA7E3B0"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Указанные выводы местных судов судебная коллегия сочла несостоятельными. В частности, отменяя арбитражное решение, суды исходили из требований подпункта 5) пункта 2 статьи 52 Арбитражного регламента Казахстанского Международного Арбитража, согласно которому решение может быть обжаловано сторонами в компетентном суде в порядке, установленном гражданским процессуальным законодательством Республики Казахстан, если решение противоречит принципу законности. </w:t>
      </w:r>
    </w:p>
    <w:p w14:paraId="3B46B928"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Между тем местными судами не принято во внимание, что регламент Казахстанского Международного Арбитража не является нормативным актом либо международным договором, следовательно, нормы указанного регламента не могут быть приняты судом в качестве основания для проверки законности решения арбитража. Такие основания для отмены решения не предусмотрены и Законом «Об арбитраже». </w:t>
      </w:r>
    </w:p>
    <w:p w14:paraId="02038B03"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В ходе рассмотрения ходатайства об отмене арбитражного решения Компанией «J» также не были представлены доказательства, подтверждающие, что оспариваемое решение, вынесенное по спору между двумя иностранными коммерческими компаниями, противоречит публичному порядку Республики Казахстан. Так, Компания «J» является резидентом Панамы, </w:t>
      </w:r>
      <w:r w:rsidRPr="0094084A">
        <w:rPr>
          <w:rFonts w:ascii="Times New Roman" w:hAnsi="Times New Roman" w:cs="Times New Roman"/>
          <w:sz w:val="24"/>
          <w:szCs w:val="24"/>
        </w:rPr>
        <w:lastRenderedPageBreak/>
        <w:t xml:space="preserve">а Компания «H»-резидентом Китайской Народной Республики. Арбитражное решение будет исполняться за пределами Республики Казахстан. </w:t>
      </w:r>
    </w:p>
    <w:p w14:paraId="487BEE4B" w14:textId="77777777" w:rsid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Следовательно, арбитражное решение никоим образом не посягает на основы правопорядка (публичного порядка) Республики Казахстан. При таких обстоятельствах коллегия признала обоснованными доводы ходатайства о том, что местные суды при рассмотрении ходатайства Компании «J» об отмене арбитражного решения вышли за рамки своей компетенции, оценивая законность принятого решения и пересматривая его по существу. </w:t>
      </w:r>
    </w:p>
    <w:p w14:paraId="00379CCD" w14:textId="7D102929" w:rsidR="00A81D5F" w:rsidRPr="0094084A" w:rsidRDefault="00C85931" w:rsidP="0094084A">
      <w:pPr>
        <w:ind w:firstLine="720"/>
        <w:jc w:val="both"/>
        <w:rPr>
          <w:rFonts w:ascii="Times New Roman" w:hAnsi="Times New Roman" w:cs="Times New Roman"/>
          <w:sz w:val="24"/>
          <w:szCs w:val="24"/>
        </w:rPr>
      </w:pPr>
      <w:r w:rsidRPr="0094084A">
        <w:rPr>
          <w:rFonts w:ascii="Times New Roman" w:hAnsi="Times New Roman" w:cs="Times New Roman"/>
          <w:sz w:val="24"/>
          <w:szCs w:val="24"/>
        </w:rPr>
        <w:t xml:space="preserve">Учитывая, что судами первой и апелляционной инстанций доводы сторон исследованы полностью, в связи с чем </w:t>
      </w:r>
      <w:hyperlink r:id="rId7" w:history="1">
        <w:r w:rsidRPr="0094084A">
          <w:rPr>
            <w:rStyle w:val="aa"/>
            <w:rFonts w:ascii="Times New Roman" w:hAnsi="Times New Roman" w:cs="Times New Roman"/>
            <w:sz w:val="24"/>
            <w:szCs w:val="24"/>
          </w:rPr>
          <w:t>сбор и дополнительная проверка доказательств</w:t>
        </w:r>
      </w:hyperlink>
      <w:r w:rsidRPr="0094084A">
        <w:rPr>
          <w:rFonts w:ascii="Times New Roman" w:hAnsi="Times New Roman" w:cs="Times New Roman"/>
          <w:sz w:val="24"/>
          <w:szCs w:val="24"/>
        </w:rPr>
        <w:t xml:space="preserve"> не потребовались, но ими была допущена ошибка в толковании и применении норм процессуального права, судебная коллегия отменила оспариваемые судебные акты с вынесением нового решения об отказе в удовлетворении ходатайства Компании «J» об отмене арбитражного решения.</w:t>
      </w:r>
      <w:r w:rsidR="00CF5BD5" w:rsidRPr="0094084A">
        <w:rPr>
          <w:rFonts w:ascii="Times New Roman" w:hAnsi="Times New Roman" w:cs="Times New Roman"/>
          <w:sz w:val="24"/>
          <w:szCs w:val="24"/>
        </w:rPr>
        <w:t xml:space="preserve"> </w:t>
      </w:r>
    </w:p>
    <w:p w14:paraId="7EA7FA65" w14:textId="0D3DEF47" w:rsidR="00F173BA" w:rsidRPr="0094084A" w:rsidRDefault="00F173BA" w:rsidP="002570B0">
      <w:pPr>
        <w:rPr>
          <w:rFonts w:ascii="Times New Roman" w:hAnsi="Times New Roman" w:cs="Times New Roman"/>
          <w:sz w:val="24"/>
          <w:szCs w:val="24"/>
        </w:rPr>
      </w:pPr>
    </w:p>
    <w:p w14:paraId="1C113091" w14:textId="5A80DFE0" w:rsidR="00F173BA" w:rsidRPr="0094084A" w:rsidRDefault="00F173BA" w:rsidP="002570B0">
      <w:pPr>
        <w:rPr>
          <w:rFonts w:ascii="Times New Roman" w:hAnsi="Times New Roman" w:cs="Times New Roman"/>
          <w:sz w:val="24"/>
          <w:szCs w:val="24"/>
        </w:rPr>
      </w:pPr>
    </w:p>
    <w:p w14:paraId="1D196CDE" w14:textId="737247FA" w:rsidR="00F173BA" w:rsidRPr="0094084A" w:rsidRDefault="00F173BA" w:rsidP="002570B0">
      <w:pPr>
        <w:rPr>
          <w:rFonts w:ascii="Times New Roman" w:hAnsi="Times New Roman" w:cs="Times New Roman"/>
          <w:sz w:val="24"/>
          <w:szCs w:val="24"/>
        </w:rPr>
      </w:pPr>
    </w:p>
    <w:p w14:paraId="02403F08" w14:textId="75BEB719" w:rsidR="00F173BA" w:rsidRPr="0094084A" w:rsidRDefault="00F173BA" w:rsidP="002570B0">
      <w:pPr>
        <w:rPr>
          <w:rFonts w:ascii="Times New Roman" w:hAnsi="Times New Roman" w:cs="Times New Roman"/>
          <w:sz w:val="24"/>
          <w:szCs w:val="24"/>
        </w:rPr>
      </w:pPr>
    </w:p>
    <w:p w14:paraId="308325D5" w14:textId="324F2E94" w:rsidR="00F173BA" w:rsidRPr="0094084A" w:rsidRDefault="00F173BA" w:rsidP="002570B0">
      <w:pPr>
        <w:rPr>
          <w:rFonts w:ascii="Times New Roman" w:hAnsi="Times New Roman" w:cs="Times New Roman"/>
          <w:sz w:val="24"/>
          <w:szCs w:val="24"/>
        </w:rPr>
      </w:pPr>
    </w:p>
    <w:p w14:paraId="22BAA135" w14:textId="6CC745FE" w:rsidR="00F173BA" w:rsidRPr="0094084A" w:rsidRDefault="00F173BA" w:rsidP="002570B0">
      <w:pPr>
        <w:rPr>
          <w:rFonts w:ascii="Times New Roman" w:hAnsi="Times New Roman" w:cs="Times New Roman"/>
          <w:sz w:val="24"/>
          <w:szCs w:val="24"/>
        </w:rPr>
      </w:pPr>
    </w:p>
    <w:p w14:paraId="33D51603" w14:textId="10BA4AEF" w:rsidR="00F173BA" w:rsidRPr="0094084A" w:rsidRDefault="00F173BA" w:rsidP="002570B0">
      <w:pPr>
        <w:rPr>
          <w:rFonts w:ascii="Times New Roman" w:hAnsi="Times New Roman" w:cs="Times New Roman"/>
          <w:sz w:val="24"/>
          <w:szCs w:val="24"/>
        </w:rPr>
      </w:pPr>
    </w:p>
    <w:p w14:paraId="55D95E22" w14:textId="0EFD17BF" w:rsidR="00F173BA" w:rsidRPr="0094084A" w:rsidRDefault="00F173BA" w:rsidP="002570B0">
      <w:pPr>
        <w:rPr>
          <w:rFonts w:ascii="Times New Roman" w:hAnsi="Times New Roman" w:cs="Times New Roman"/>
          <w:sz w:val="24"/>
          <w:szCs w:val="24"/>
        </w:rPr>
      </w:pPr>
    </w:p>
    <w:p w14:paraId="1E84A240" w14:textId="61513D00" w:rsidR="00F173BA" w:rsidRPr="0094084A" w:rsidRDefault="00F173BA" w:rsidP="002570B0">
      <w:pPr>
        <w:rPr>
          <w:rFonts w:ascii="Times New Roman" w:hAnsi="Times New Roman" w:cs="Times New Roman"/>
          <w:sz w:val="24"/>
          <w:szCs w:val="24"/>
        </w:rPr>
      </w:pPr>
    </w:p>
    <w:p w14:paraId="049E1B58" w14:textId="408BB97D" w:rsidR="00F173BA" w:rsidRPr="0094084A" w:rsidRDefault="00F173BA" w:rsidP="002570B0">
      <w:pPr>
        <w:rPr>
          <w:rFonts w:ascii="Times New Roman" w:hAnsi="Times New Roman" w:cs="Times New Roman"/>
          <w:sz w:val="24"/>
          <w:szCs w:val="24"/>
        </w:rPr>
      </w:pPr>
    </w:p>
    <w:p w14:paraId="3F19C72F" w14:textId="49CAEBA5" w:rsidR="00F173BA" w:rsidRPr="0094084A" w:rsidRDefault="00F173BA" w:rsidP="00F173BA">
      <w:pPr>
        <w:tabs>
          <w:tab w:val="left" w:pos="6948"/>
        </w:tabs>
        <w:rPr>
          <w:rFonts w:ascii="Times New Roman" w:hAnsi="Times New Roman" w:cs="Times New Roman"/>
          <w:sz w:val="24"/>
          <w:szCs w:val="24"/>
        </w:rPr>
      </w:pPr>
      <w:r w:rsidRPr="0094084A">
        <w:rPr>
          <w:rFonts w:ascii="Times New Roman" w:hAnsi="Times New Roman" w:cs="Times New Roman"/>
          <w:sz w:val="24"/>
          <w:szCs w:val="24"/>
        </w:rPr>
        <w:tab/>
      </w:r>
    </w:p>
    <w:sectPr w:rsidR="00F173BA" w:rsidRPr="0094084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7A7F3" w14:textId="77777777" w:rsidR="001D2FF2" w:rsidRDefault="001D2FF2" w:rsidP="00702393">
      <w:pPr>
        <w:spacing w:after="0" w:line="240" w:lineRule="auto"/>
      </w:pPr>
      <w:r>
        <w:separator/>
      </w:r>
    </w:p>
  </w:endnote>
  <w:endnote w:type="continuationSeparator" w:id="0">
    <w:p w14:paraId="6768EE94" w14:textId="77777777" w:rsidR="001D2FF2" w:rsidRDefault="001D2FF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8C475" w14:textId="77777777" w:rsidR="001D2FF2" w:rsidRDefault="001D2FF2" w:rsidP="00702393">
      <w:pPr>
        <w:spacing w:after="0" w:line="240" w:lineRule="auto"/>
      </w:pPr>
      <w:r>
        <w:separator/>
      </w:r>
    </w:p>
  </w:footnote>
  <w:footnote w:type="continuationSeparator" w:id="0">
    <w:p w14:paraId="45F1E93A" w14:textId="77777777" w:rsidR="001D2FF2" w:rsidRDefault="001D2FF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D2FF2"/>
    <w:rsid w:val="001E7ED8"/>
    <w:rsid w:val="00202865"/>
    <w:rsid w:val="002570B0"/>
    <w:rsid w:val="002A1A72"/>
    <w:rsid w:val="002B659E"/>
    <w:rsid w:val="00315990"/>
    <w:rsid w:val="00327D34"/>
    <w:rsid w:val="00327E86"/>
    <w:rsid w:val="00396063"/>
    <w:rsid w:val="003C77EA"/>
    <w:rsid w:val="003E3623"/>
    <w:rsid w:val="00442855"/>
    <w:rsid w:val="00461793"/>
    <w:rsid w:val="00592D14"/>
    <w:rsid w:val="005A3B78"/>
    <w:rsid w:val="006709F0"/>
    <w:rsid w:val="006B0A4D"/>
    <w:rsid w:val="006E2D0A"/>
    <w:rsid w:val="00702393"/>
    <w:rsid w:val="00722D19"/>
    <w:rsid w:val="008A7236"/>
    <w:rsid w:val="008E7DF6"/>
    <w:rsid w:val="0091354D"/>
    <w:rsid w:val="00940023"/>
    <w:rsid w:val="0094084A"/>
    <w:rsid w:val="0094655E"/>
    <w:rsid w:val="009E6904"/>
    <w:rsid w:val="00A23573"/>
    <w:rsid w:val="00A45B15"/>
    <w:rsid w:val="00A81D5F"/>
    <w:rsid w:val="00B31BDB"/>
    <w:rsid w:val="00BD7730"/>
    <w:rsid w:val="00C16D9C"/>
    <w:rsid w:val="00C85931"/>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94084A"/>
    <w:rPr>
      <w:color w:val="0563C1" w:themeColor="hyperlink"/>
      <w:u w:val="single"/>
    </w:rPr>
  </w:style>
  <w:style w:type="character" w:styleId="ab">
    <w:name w:val="Unresolved Mention"/>
    <w:basedOn w:val="a0"/>
    <w:uiPriority w:val="99"/>
    <w:semiHidden/>
    <w:unhideWhenUsed/>
    <w:rsid w:val="00940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629</Words>
  <Characters>3591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2021-11-10T09:13:00Z</dcterms:modified>
</cp:coreProperties>
</file>