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CB70C" w14:textId="3DF226F5" w:rsidR="00DB28FB" w:rsidRPr="000E4D80" w:rsidRDefault="00DB28FB" w:rsidP="000E4D80">
      <w:pPr>
        <w:jc w:val="center"/>
        <w:rPr>
          <w:rFonts w:ascii="Times New Roman" w:hAnsi="Times New Roman" w:cs="Times New Roman"/>
          <w:b/>
          <w:bCs/>
          <w:sz w:val="24"/>
          <w:szCs w:val="24"/>
        </w:rPr>
      </w:pPr>
      <w:r w:rsidRPr="000E4D80">
        <w:rPr>
          <w:rFonts w:ascii="Times New Roman" w:hAnsi="Times New Roman" w:cs="Times New Roman"/>
          <w:b/>
          <w:bCs/>
          <w:sz w:val="24"/>
          <w:szCs w:val="24"/>
        </w:rPr>
        <w:t>Подсудность</w:t>
      </w:r>
      <w:r w:rsidR="000E4D80" w:rsidRPr="000E4D80">
        <w:rPr>
          <w:rFonts w:ascii="Times New Roman" w:hAnsi="Times New Roman" w:cs="Times New Roman"/>
          <w:b/>
          <w:bCs/>
          <w:sz w:val="24"/>
          <w:szCs w:val="24"/>
        </w:rPr>
        <w:t xml:space="preserve"> - </w:t>
      </w:r>
      <w:r w:rsidR="000E4D80" w:rsidRPr="000E4D80">
        <w:rPr>
          <w:rFonts w:ascii="Times New Roman" w:hAnsi="Times New Roman" w:cs="Times New Roman"/>
          <w:b/>
          <w:bCs/>
          <w:sz w:val="24"/>
          <w:szCs w:val="24"/>
        </w:rPr>
        <w:t>Спор</w:t>
      </w:r>
      <w:r w:rsidR="000E4D80" w:rsidRPr="000E4D80">
        <w:rPr>
          <w:rFonts w:ascii="Times New Roman" w:hAnsi="Times New Roman" w:cs="Times New Roman"/>
          <w:b/>
          <w:bCs/>
          <w:sz w:val="24"/>
          <w:szCs w:val="24"/>
        </w:rPr>
        <w:t>ам</w:t>
      </w:r>
      <w:r w:rsidR="000E4D80" w:rsidRPr="000E4D80">
        <w:rPr>
          <w:rFonts w:ascii="Times New Roman" w:hAnsi="Times New Roman" w:cs="Times New Roman"/>
          <w:b/>
          <w:bCs/>
          <w:sz w:val="24"/>
          <w:szCs w:val="24"/>
        </w:rPr>
        <w:t xml:space="preserve"> о защите нарушенных авторских и смежных прав</w:t>
      </w:r>
    </w:p>
    <w:p w14:paraId="593FE31B" w14:textId="77777777" w:rsidR="00DB28FB" w:rsidRPr="000E4D80" w:rsidRDefault="00DB28FB" w:rsidP="00A81D5F">
      <w:pPr>
        <w:jc w:val="both"/>
        <w:rPr>
          <w:rFonts w:ascii="Times New Roman" w:hAnsi="Times New Roman" w:cs="Times New Roman"/>
          <w:sz w:val="24"/>
          <w:szCs w:val="24"/>
        </w:rPr>
      </w:pPr>
    </w:p>
    <w:p w14:paraId="18D96BDF" w14:textId="77777777" w:rsidR="000E4D80"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Споры о защите нарушенных авторских и смежных прав подсудны районным (городским) судам, а также специализированным межрайонным экономическим судам, если сторонами в споре являются юридические лица и индивидуальные предприниматели, и подлежат рассмотрению в порядке искового производства. </w:t>
      </w:r>
    </w:p>
    <w:p w14:paraId="47148AA6" w14:textId="77777777"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Правом на предъявление иска обладают как физические лица (авторы, соавторы, исполнители, производители фонограмм, наследники, правообладатели), так и юридические лица (организации эфирного и кабельного вещания, организации по управлению имущественными правами авторов и исполнителей на коллективной основе, уполномоченный орган при отсутствии наследников авторов и исполнителей). </w:t>
      </w:r>
    </w:p>
    <w:p w14:paraId="02A14F62" w14:textId="3F03B5AD"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Иски по спорам о защите авторских и смежных прав предъявляются по правилам подсудности, установленным главой 3 Гражданского процессуального кодекса Республики Казахстан (далее – ГПК), то есть на споры данной категории распространяются общие правила </w:t>
      </w:r>
      <w:hyperlink r:id="rId6" w:history="1">
        <w:r w:rsidRPr="006B619F">
          <w:rPr>
            <w:rStyle w:val="aa"/>
            <w:rFonts w:ascii="Times New Roman" w:hAnsi="Times New Roman" w:cs="Times New Roman"/>
            <w:sz w:val="24"/>
            <w:szCs w:val="24"/>
          </w:rPr>
          <w:t>подсудности по месту нахождения и проживания ответчика</w:t>
        </w:r>
      </w:hyperlink>
      <w:r w:rsidRPr="000E4D80">
        <w:rPr>
          <w:rFonts w:ascii="Times New Roman" w:hAnsi="Times New Roman" w:cs="Times New Roman"/>
          <w:sz w:val="24"/>
          <w:szCs w:val="24"/>
        </w:rPr>
        <w:t xml:space="preserve">, а в случаях, предусмотренных авторским и лицензионным договором, – правила договорной подсудности. </w:t>
      </w:r>
    </w:p>
    <w:p w14:paraId="1B75A88D" w14:textId="77777777"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На иски о защите личных неимущественных прав (право авторства, право на авторское имя, право на обнародование, право на отзыв, право на неприкосновенность произведения, право на защиту репутации автора) исковая давность не распространяется, поскольку эти права являются неотчуждаемыми. </w:t>
      </w:r>
    </w:p>
    <w:p w14:paraId="3F8080A2" w14:textId="77777777"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К искам имущественного характера (о взыскании гонорара по договору автора с пользователем, о взыскании ущерба, дохода, полученного в результате нарушения авторского права, компенсации и т.д.) применяется общий срок исковой давности, установленный статьей 178 ГК в три года. </w:t>
      </w:r>
    </w:p>
    <w:p w14:paraId="34540D40" w14:textId="77777777"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Порядок предъявления иска по данной категории дел регулируется правилами главы 14 ГПК, прежде всего, с соблюдением требований статей 148-149 ГПК. Для правильного определения подсудности данной категории дел, когда иск предъявляется в суд организацией, управляющей имущественными правами на коллективной основе в интересах автора, судам следует уточнять процессуальное положение сторон, полномочия организации на предъявление иска, предусмотренные в доверенности либо в договоре. </w:t>
      </w:r>
    </w:p>
    <w:p w14:paraId="1A4D2BCB" w14:textId="77777777" w:rsidR="00C66EF6" w:rsidRDefault="00DB28F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Исковые заявления, подаваемые организациями, управляющими имущественными правами на коллективной основе в интересах авторов, по фактам нарушения имущественных прав авторов, членов указанных</w:t>
      </w:r>
      <w:r w:rsidR="00CF5BD5" w:rsidRPr="000E4D80">
        <w:rPr>
          <w:rFonts w:ascii="Times New Roman" w:hAnsi="Times New Roman" w:cs="Times New Roman"/>
          <w:sz w:val="24"/>
          <w:szCs w:val="24"/>
        </w:rPr>
        <w:t xml:space="preserve"> </w:t>
      </w:r>
      <w:r w:rsidR="00373C3B" w:rsidRPr="000E4D80">
        <w:rPr>
          <w:rFonts w:ascii="Times New Roman" w:hAnsi="Times New Roman" w:cs="Times New Roman"/>
          <w:sz w:val="24"/>
          <w:szCs w:val="24"/>
        </w:rPr>
        <w:t xml:space="preserve">организаций или представителей, при наличии соответствующих полномочий на предъявление иска, подлежат рассмотрению в судах общей юрисдикции. </w:t>
      </w:r>
    </w:p>
    <w:p w14:paraId="16BA8AD8" w14:textId="77777777" w:rsidR="00C66EF6" w:rsidRDefault="00373C3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При рассмотрении дел данной категории также необходимо иметь в виду, что в соответствии с пунктом 1-1 статьи 49 Закона предусмотрен обязательный досудебный порядок урегулирования спора. Согласно указанной норме, иск предъявляется в суд после обращения субъекта авторского права или смежных прав, чьи права и законные интересы нарушены, к пользователю этих прав или другому лицу, если иное не предусмотрено договором. Однако судами не всегда соблюдаются указанные требования. </w:t>
      </w:r>
    </w:p>
    <w:p w14:paraId="00379CCD" w14:textId="6B3ED57D" w:rsidR="00A81D5F" w:rsidRPr="000E4D80" w:rsidRDefault="00373C3B" w:rsidP="000E4D80">
      <w:pPr>
        <w:ind w:firstLine="720"/>
        <w:jc w:val="both"/>
        <w:rPr>
          <w:rFonts w:ascii="Times New Roman" w:hAnsi="Times New Roman" w:cs="Times New Roman"/>
          <w:sz w:val="24"/>
          <w:szCs w:val="24"/>
        </w:rPr>
      </w:pPr>
      <w:r w:rsidRPr="000E4D80">
        <w:rPr>
          <w:rFonts w:ascii="Times New Roman" w:hAnsi="Times New Roman" w:cs="Times New Roman"/>
          <w:sz w:val="24"/>
          <w:szCs w:val="24"/>
        </w:rPr>
        <w:t xml:space="preserve">Так, иск М. к ТОО «И», ТОО «К» о взыскании компенсации за неправомерное использование объектов авторского права был принят к производству суда и рассмотрен по </w:t>
      </w:r>
      <w:r w:rsidRPr="000E4D80">
        <w:rPr>
          <w:rFonts w:ascii="Times New Roman" w:hAnsi="Times New Roman" w:cs="Times New Roman"/>
          <w:sz w:val="24"/>
          <w:szCs w:val="24"/>
        </w:rPr>
        <w:lastRenderedPageBreak/>
        <w:t xml:space="preserve">существу, несмотря на то, что истцом не был соблюден обязательный досудебный порядок разрешения спора, то есть до обращения в суд с иском М. не обращалась к ответчикам с какой-либо претензией </w:t>
      </w:r>
      <w:hyperlink r:id="rId7" w:history="1">
        <w:r w:rsidRPr="006B619F">
          <w:rPr>
            <w:rStyle w:val="aa"/>
            <w:rFonts w:ascii="Times New Roman" w:hAnsi="Times New Roman" w:cs="Times New Roman"/>
            <w:sz w:val="24"/>
            <w:szCs w:val="24"/>
          </w:rPr>
          <w:t>по факту нарушения авторских прав</w:t>
        </w:r>
      </w:hyperlink>
      <w:r w:rsidRPr="000E4D80">
        <w:rPr>
          <w:rFonts w:ascii="Times New Roman" w:hAnsi="Times New Roman" w:cs="Times New Roman"/>
          <w:sz w:val="24"/>
          <w:szCs w:val="24"/>
        </w:rPr>
        <w:t xml:space="preserve"> (решением районного суда № 2 Алмалинского района города Алматы от 02 июня 2016 года в удовлетворении иска М. отказано).</w:t>
      </w:r>
    </w:p>
    <w:p w14:paraId="7EA7FA65" w14:textId="0D3DEF47" w:rsidR="00F173BA" w:rsidRPr="000E4D80" w:rsidRDefault="00F173BA" w:rsidP="002570B0">
      <w:pPr>
        <w:rPr>
          <w:rFonts w:ascii="Times New Roman" w:hAnsi="Times New Roman" w:cs="Times New Roman"/>
          <w:sz w:val="24"/>
          <w:szCs w:val="24"/>
        </w:rPr>
      </w:pPr>
    </w:p>
    <w:p w14:paraId="1C113091" w14:textId="5A80DFE0" w:rsidR="00F173BA" w:rsidRPr="000E4D80" w:rsidRDefault="00F173BA" w:rsidP="002570B0">
      <w:pPr>
        <w:rPr>
          <w:rFonts w:ascii="Times New Roman" w:hAnsi="Times New Roman" w:cs="Times New Roman"/>
          <w:sz w:val="24"/>
          <w:szCs w:val="24"/>
        </w:rPr>
      </w:pPr>
    </w:p>
    <w:p w14:paraId="1D196CDE" w14:textId="737247FA" w:rsidR="00F173BA" w:rsidRPr="000E4D80" w:rsidRDefault="00F173BA" w:rsidP="002570B0">
      <w:pPr>
        <w:rPr>
          <w:rFonts w:ascii="Times New Roman" w:hAnsi="Times New Roman" w:cs="Times New Roman"/>
          <w:sz w:val="24"/>
          <w:szCs w:val="24"/>
        </w:rPr>
      </w:pPr>
    </w:p>
    <w:p w14:paraId="02403F08" w14:textId="75BEB719" w:rsidR="00F173BA" w:rsidRPr="000E4D80" w:rsidRDefault="00F173BA" w:rsidP="002570B0">
      <w:pPr>
        <w:rPr>
          <w:rFonts w:ascii="Times New Roman" w:hAnsi="Times New Roman" w:cs="Times New Roman"/>
          <w:sz w:val="24"/>
          <w:szCs w:val="24"/>
        </w:rPr>
      </w:pPr>
    </w:p>
    <w:p w14:paraId="308325D5" w14:textId="324F2E94" w:rsidR="00F173BA" w:rsidRPr="000E4D80" w:rsidRDefault="00F173BA" w:rsidP="002570B0">
      <w:pPr>
        <w:rPr>
          <w:rFonts w:ascii="Times New Roman" w:hAnsi="Times New Roman" w:cs="Times New Roman"/>
          <w:sz w:val="24"/>
          <w:szCs w:val="24"/>
        </w:rPr>
      </w:pPr>
    </w:p>
    <w:p w14:paraId="22BAA135" w14:textId="6CC745FE" w:rsidR="00F173BA" w:rsidRPr="000E4D80" w:rsidRDefault="00F173BA" w:rsidP="002570B0">
      <w:pPr>
        <w:rPr>
          <w:rFonts w:ascii="Times New Roman" w:hAnsi="Times New Roman" w:cs="Times New Roman"/>
          <w:sz w:val="24"/>
          <w:szCs w:val="24"/>
        </w:rPr>
      </w:pPr>
    </w:p>
    <w:p w14:paraId="33D51603" w14:textId="10BA4AEF" w:rsidR="00F173BA" w:rsidRPr="000E4D80" w:rsidRDefault="00F173BA" w:rsidP="002570B0">
      <w:pPr>
        <w:rPr>
          <w:rFonts w:ascii="Times New Roman" w:hAnsi="Times New Roman" w:cs="Times New Roman"/>
          <w:sz w:val="24"/>
          <w:szCs w:val="24"/>
        </w:rPr>
      </w:pPr>
    </w:p>
    <w:p w14:paraId="55D95E22" w14:textId="0EFD17BF" w:rsidR="00F173BA" w:rsidRPr="000E4D80" w:rsidRDefault="00F173BA" w:rsidP="002570B0">
      <w:pPr>
        <w:rPr>
          <w:rFonts w:ascii="Times New Roman" w:hAnsi="Times New Roman" w:cs="Times New Roman"/>
          <w:sz w:val="24"/>
          <w:szCs w:val="24"/>
        </w:rPr>
      </w:pPr>
    </w:p>
    <w:p w14:paraId="1E84A240" w14:textId="61513D00" w:rsidR="00F173BA" w:rsidRPr="000E4D80" w:rsidRDefault="00F173BA" w:rsidP="002570B0">
      <w:pPr>
        <w:rPr>
          <w:rFonts w:ascii="Times New Roman" w:hAnsi="Times New Roman" w:cs="Times New Roman"/>
          <w:sz w:val="24"/>
          <w:szCs w:val="24"/>
        </w:rPr>
      </w:pPr>
    </w:p>
    <w:p w14:paraId="049E1B58" w14:textId="408BB97D" w:rsidR="00F173BA" w:rsidRPr="000E4D80" w:rsidRDefault="00F173BA" w:rsidP="002570B0">
      <w:pPr>
        <w:rPr>
          <w:rFonts w:ascii="Times New Roman" w:hAnsi="Times New Roman" w:cs="Times New Roman"/>
          <w:sz w:val="24"/>
          <w:szCs w:val="24"/>
        </w:rPr>
      </w:pPr>
    </w:p>
    <w:p w14:paraId="3F19C72F" w14:textId="49CAEBA5" w:rsidR="00F173BA" w:rsidRPr="000E4D80" w:rsidRDefault="00F173BA" w:rsidP="00F173BA">
      <w:pPr>
        <w:tabs>
          <w:tab w:val="left" w:pos="6948"/>
        </w:tabs>
        <w:rPr>
          <w:rFonts w:ascii="Times New Roman" w:hAnsi="Times New Roman" w:cs="Times New Roman"/>
          <w:sz w:val="24"/>
          <w:szCs w:val="24"/>
        </w:rPr>
      </w:pPr>
      <w:r w:rsidRPr="000E4D80">
        <w:rPr>
          <w:rFonts w:ascii="Times New Roman" w:hAnsi="Times New Roman" w:cs="Times New Roman"/>
          <w:sz w:val="24"/>
          <w:szCs w:val="24"/>
        </w:rPr>
        <w:tab/>
      </w:r>
    </w:p>
    <w:sectPr w:rsidR="00F173BA" w:rsidRPr="000E4D8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E4D80"/>
    <w:rsid w:val="00102D7B"/>
    <w:rsid w:val="00152128"/>
    <w:rsid w:val="001539CF"/>
    <w:rsid w:val="00193E1B"/>
    <w:rsid w:val="001C5801"/>
    <w:rsid w:val="001E7ED8"/>
    <w:rsid w:val="002570B0"/>
    <w:rsid w:val="002A1A72"/>
    <w:rsid w:val="002B659E"/>
    <w:rsid w:val="00315990"/>
    <w:rsid w:val="00327D34"/>
    <w:rsid w:val="00327E86"/>
    <w:rsid w:val="00373C3B"/>
    <w:rsid w:val="00396063"/>
    <w:rsid w:val="003C77EA"/>
    <w:rsid w:val="003E3623"/>
    <w:rsid w:val="00442855"/>
    <w:rsid w:val="00461793"/>
    <w:rsid w:val="005A3B78"/>
    <w:rsid w:val="006B0A4D"/>
    <w:rsid w:val="006B619F"/>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66EF6"/>
    <w:rsid w:val="00CB275A"/>
    <w:rsid w:val="00CF5BD5"/>
    <w:rsid w:val="00D02DFB"/>
    <w:rsid w:val="00DB28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B619F"/>
    <w:rPr>
      <w:color w:val="0563C1" w:themeColor="hyperlink"/>
      <w:u w:val="single"/>
    </w:rPr>
  </w:style>
  <w:style w:type="character" w:styleId="ab">
    <w:name w:val="Unresolved Mention"/>
    <w:basedOn w:val="a0"/>
    <w:uiPriority w:val="99"/>
    <w:semiHidden/>
    <w:unhideWhenUsed/>
    <w:rsid w:val="006B6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539</Words>
  <Characters>3077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2021-10-11T13:16:00Z</dcterms:modified>
</cp:coreProperties>
</file>