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A2A4" w14:textId="7EA92759" w:rsidR="00ED6CF4" w:rsidRPr="009103DB" w:rsidRDefault="009103DB" w:rsidP="009103DB">
      <w:pPr>
        <w:jc w:val="center"/>
        <w:rPr>
          <w:b/>
          <w:bCs/>
        </w:rPr>
      </w:pPr>
      <w:r w:rsidRPr="009103D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9103DB">
        <w:rPr>
          <w:rFonts w:ascii="Times New Roman" w:hAnsi="Times New Roman" w:cs="Times New Roman"/>
          <w:b/>
          <w:bCs/>
          <w:sz w:val="24"/>
          <w:szCs w:val="24"/>
        </w:rPr>
        <w:t>окушени</w:t>
      </w:r>
      <w:r w:rsidRPr="009103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9103DB">
        <w:rPr>
          <w:rFonts w:ascii="Times New Roman" w:hAnsi="Times New Roman" w:cs="Times New Roman"/>
          <w:b/>
          <w:bCs/>
          <w:sz w:val="24"/>
          <w:szCs w:val="24"/>
        </w:rPr>
        <w:t xml:space="preserve"> на грабеж, то есть в открытом хищении чужого имущества, совершенном с применением насилия, не опасного для жизни и здоровья, группой лиц по предварительному сговору</w:t>
      </w:r>
    </w:p>
    <w:p w14:paraId="00379CCD" w14:textId="75AAC4EF" w:rsidR="00A81D5F" w:rsidRPr="009103DB" w:rsidRDefault="00ED6CF4" w:rsidP="009103DB">
      <w:pPr>
        <w:rPr>
          <w:rFonts w:ascii="Times New Roman" w:hAnsi="Times New Roman" w:cs="Times New Roman"/>
          <w:bCs/>
          <w:sz w:val="24"/>
          <w:szCs w:val="24"/>
        </w:rPr>
      </w:pPr>
      <w:r w:rsidRPr="009103DB">
        <w:rPr>
          <w:rFonts w:ascii="Times New Roman" w:hAnsi="Times New Roman" w:cs="Times New Roman"/>
          <w:bCs/>
          <w:sz w:val="24"/>
          <w:szCs w:val="24"/>
        </w:rPr>
        <w:t>Судом допущено несоответствие выводов описательно-мотивировочной части приговора с резолютивной частью что повлияло на правильность применения уголовного закона.</w:t>
      </w:r>
    </w:p>
    <w:p w14:paraId="65CD25B4" w14:textId="2626F56B" w:rsidR="00A96159" w:rsidRDefault="00ED6CF4" w:rsidP="00ED6CF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6CF4">
        <w:rPr>
          <w:rFonts w:ascii="Times New Roman" w:hAnsi="Times New Roman" w:cs="Times New Roman"/>
          <w:sz w:val="24"/>
          <w:szCs w:val="24"/>
        </w:rPr>
        <w:t xml:space="preserve">Приговором Шахтинского городского суда Карагандинской области от 28 октября 2013 года: Ш., осужден по пунктам «а, в» части второй статьи 178 Уголовного кодекса (далее – УК) к 5 годам ограничения свободы с возложением обязанностей, предусмотренные частью второй статьи 45 УК. За потерпевшим К. признано право на удовлетворение гражданского иска, с передачей вопроса о его размере на рассмотрение судом в порядке гражданского судопроизводства. Приговором суда Ш. признан виновным в покушении на грабеж, то есть в </w:t>
      </w:r>
      <w:hyperlink r:id="rId6" w:history="1">
        <w:r w:rsidRPr="00A96159">
          <w:rPr>
            <w:rStyle w:val="aa"/>
            <w:rFonts w:ascii="Times New Roman" w:hAnsi="Times New Roman" w:cs="Times New Roman"/>
            <w:sz w:val="24"/>
            <w:szCs w:val="24"/>
          </w:rPr>
          <w:t>открытом хищении чужого имущества</w:t>
        </w:r>
      </w:hyperlink>
      <w:r w:rsidRPr="00ED6CF4">
        <w:rPr>
          <w:rFonts w:ascii="Times New Roman" w:hAnsi="Times New Roman" w:cs="Times New Roman"/>
          <w:sz w:val="24"/>
          <w:szCs w:val="24"/>
        </w:rPr>
        <w:t>, совершенном с применением насилия, не опасного для жизни и здоровья потерпевшего, группой лиц по предварительному сговору. Дело в апелляционном порядке не рассматривалось.</w:t>
      </w:r>
    </w:p>
    <w:p w14:paraId="5F95B95A" w14:textId="77777777" w:rsidR="00A96159" w:rsidRDefault="00ED6CF4" w:rsidP="00ED6CF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6CF4">
        <w:rPr>
          <w:rFonts w:ascii="Times New Roman" w:hAnsi="Times New Roman" w:cs="Times New Roman"/>
          <w:sz w:val="24"/>
          <w:szCs w:val="24"/>
        </w:rPr>
        <w:t xml:space="preserve"> Изучив материалы дела по протесту прокурора, кассационная коллегия изменила приговор суда по следующим основаниям. В соответствии со статьей 369 Уголовно-процессуального кодекса (далее – УПК) законным признается приговор, который постановлен с соблюдением всех требований закона. По смыслу закона, приговор должен соответствовать как по форме, так и по содержанию требованиям статей 377-383 УПК. Согласно пункту 36 Нормативного постановления Верховного Суда Республики Казахстан от 15 августа 2002 года № 19 «О судебном приговоре» в связи с тем, что все части приговора вместе составляют логически связный документ, резолютивная часть обвинительного приговора должна соответствовать требованиям статьи 380 УПК и вытекать из вводной и описательно-мотивировочной частей.</w:t>
      </w:r>
    </w:p>
    <w:p w14:paraId="7E9EBEA1" w14:textId="3BBF5118" w:rsidR="00A96159" w:rsidRDefault="00ED6CF4" w:rsidP="00ED6CF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6CF4">
        <w:rPr>
          <w:rFonts w:ascii="Times New Roman" w:hAnsi="Times New Roman" w:cs="Times New Roman"/>
          <w:sz w:val="24"/>
          <w:szCs w:val="24"/>
        </w:rPr>
        <w:t xml:space="preserve"> Между тем, судом допущено несоответствие выводов </w:t>
      </w:r>
      <w:proofErr w:type="spellStart"/>
      <w:r w:rsidRPr="00ED6CF4">
        <w:rPr>
          <w:rFonts w:ascii="Times New Roman" w:hAnsi="Times New Roman" w:cs="Times New Roman"/>
          <w:sz w:val="24"/>
          <w:szCs w:val="24"/>
        </w:rPr>
        <w:t>описательномотивировочной</w:t>
      </w:r>
      <w:proofErr w:type="spellEnd"/>
      <w:r w:rsidRPr="00ED6CF4">
        <w:rPr>
          <w:rFonts w:ascii="Times New Roman" w:hAnsi="Times New Roman" w:cs="Times New Roman"/>
          <w:sz w:val="24"/>
          <w:szCs w:val="24"/>
        </w:rPr>
        <w:t xml:space="preserve"> части приговора с резолютивной частью, что повлияло на правильность применения уголовного закона. Как следует из описательно-мотивировочной части приговора судом </w:t>
      </w:r>
      <w:hyperlink r:id="rId7" w:history="1">
        <w:r w:rsidRPr="00A96159">
          <w:rPr>
            <w:rStyle w:val="aa"/>
            <w:rFonts w:ascii="Times New Roman" w:hAnsi="Times New Roman" w:cs="Times New Roman"/>
            <w:sz w:val="24"/>
            <w:szCs w:val="24"/>
          </w:rPr>
          <w:t>описаны преступные действия</w:t>
        </w:r>
      </w:hyperlink>
      <w:r w:rsidRPr="00ED6CF4">
        <w:rPr>
          <w:rFonts w:ascii="Times New Roman" w:hAnsi="Times New Roman" w:cs="Times New Roman"/>
          <w:sz w:val="24"/>
          <w:szCs w:val="24"/>
        </w:rPr>
        <w:t xml:space="preserve"> Ш., призна</w:t>
      </w:r>
      <w:r>
        <w:rPr>
          <w:rFonts w:ascii="Times New Roman" w:hAnsi="Times New Roman" w:cs="Times New Roman"/>
          <w:sz w:val="24"/>
          <w:szCs w:val="24"/>
        </w:rPr>
        <w:t xml:space="preserve">нные доказанным, как совершение </w:t>
      </w:r>
      <w:r w:rsidRPr="00ED6CF4">
        <w:rPr>
          <w:rFonts w:ascii="Times New Roman" w:hAnsi="Times New Roman" w:cs="Times New Roman"/>
          <w:sz w:val="24"/>
          <w:szCs w:val="24"/>
        </w:rPr>
        <w:t xml:space="preserve">неоконченного преступления – грабежа, тогда как в резолютивной части приговора, Ш. признан виновным в совершении оконченного состава грабежа, что подлежит приведению в соответствие. При таких обстоятельствах, действия Ш. следует квалифицировать по части третьей статьи 24, подпунктам «а, в» части второй статьи 178 УК. </w:t>
      </w:r>
    </w:p>
    <w:p w14:paraId="3F19C72F" w14:textId="66B0417E" w:rsidR="00F173BA" w:rsidRPr="00A81D5F" w:rsidRDefault="00ED6CF4" w:rsidP="009103DB">
      <w:pPr>
        <w:ind w:firstLine="720"/>
        <w:jc w:val="both"/>
      </w:pPr>
      <w:r w:rsidRPr="00ED6CF4">
        <w:rPr>
          <w:rFonts w:ascii="Times New Roman" w:hAnsi="Times New Roman" w:cs="Times New Roman"/>
          <w:sz w:val="24"/>
          <w:szCs w:val="24"/>
        </w:rPr>
        <w:t xml:space="preserve">Доказательства, на которых основана виновность осужденного в содеянном им, судом в приговоре подробно приведены, и они являются допустимыми и достаточными для признания виновным Ш. в инкриминируемом ему деянии. Наказание Ш. </w:t>
      </w:r>
      <w:hyperlink r:id="rId8" w:history="1">
        <w:r w:rsidRPr="00A96159">
          <w:rPr>
            <w:rStyle w:val="aa"/>
            <w:rFonts w:ascii="Times New Roman" w:hAnsi="Times New Roman" w:cs="Times New Roman"/>
            <w:sz w:val="24"/>
            <w:szCs w:val="24"/>
          </w:rPr>
          <w:t>следует определить согласно санкции</w:t>
        </w:r>
      </w:hyperlink>
      <w:r w:rsidRPr="00ED6CF4">
        <w:rPr>
          <w:rFonts w:ascii="Times New Roman" w:hAnsi="Times New Roman" w:cs="Times New Roman"/>
          <w:sz w:val="24"/>
          <w:szCs w:val="24"/>
        </w:rPr>
        <w:t xml:space="preserve"> данной статьи, с учетом требований статьи 52 УК. На основании изложенного, руководствуясь пунктом 6 статей 446-7, 446-8, 446-18, 446-19 УПК, кассационная коллегия изменила приговор Шахтинского городского суда Карагандинской области от 28 октября 2013 года в отношении Ш.,: его действия с подпунктов «а, в» части второй статьи 178 УК переквалифицированы на часть третью статьи 24, подпункты «а, в» части второй статьи 178 УК и назначено по ним 5 (пять) лет ограничения свободы с возложением следующих обязанностей: не менять постоянного места жительства, работы и учебы без уведомления специализированного органа, не посещать увеселительные заведения, в свободное от учебы и работы время не покидать места жительства, не выезжать в другие местности без разрешения специализированного органа. В остальной части приговор оставлен без изменения.</w:t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38558" w14:textId="77777777" w:rsidR="00944B2C" w:rsidRDefault="00944B2C" w:rsidP="00702393">
      <w:pPr>
        <w:spacing w:after="0" w:line="240" w:lineRule="auto"/>
      </w:pPr>
      <w:r>
        <w:separator/>
      </w:r>
    </w:p>
  </w:endnote>
  <w:endnote w:type="continuationSeparator" w:id="0">
    <w:p w14:paraId="2254A09D" w14:textId="77777777" w:rsidR="00944B2C" w:rsidRDefault="00944B2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F1B0" w14:textId="77777777" w:rsidR="00944B2C" w:rsidRDefault="00944B2C" w:rsidP="00702393">
      <w:pPr>
        <w:spacing w:after="0" w:line="240" w:lineRule="auto"/>
      </w:pPr>
      <w:r>
        <w:separator/>
      </w:r>
    </w:p>
  </w:footnote>
  <w:footnote w:type="continuationSeparator" w:id="0">
    <w:p w14:paraId="6E339C4F" w14:textId="77777777" w:rsidR="00944B2C" w:rsidRDefault="00944B2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5A33C87E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</w:t>
    </w:r>
    <w:r w:rsidR="009103DB">
      <w:rPr>
        <w:noProof/>
        <w:lang w:eastAsia="ru-RU"/>
      </w:rPr>
      <w:drawing>
        <wp:inline distT="0" distB="0" distL="0" distR="0" wp14:anchorId="0F9F6497" wp14:editId="70E2AE06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02D7B"/>
    <w:rsid w:val="00152128"/>
    <w:rsid w:val="001539CF"/>
    <w:rsid w:val="00193E1B"/>
    <w:rsid w:val="001C5801"/>
    <w:rsid w:val="001C6225"/>
    <w:rsid w:val="001E7ED8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61793"/>
    <w:rsid w:val="006B0A4D"/>
    <w:rsid w:val="006E2D0A"/>
    <w:rsid w:val="00702393"/>
    <w:rsid w:val="00722D19"/>
    <w:rsid w:val="008A7236"/>
    <w:rsid w:val="008E7DF6"/>
    <w:rsid w:val="009103DB"/>
    <w:rsid w:val="0091354D"/>
    <w:rsid w:val="00944B2C"/>
    <w:rsid w:val="0094655E"/>
    <w:rsid w:val="009E6904"/>
    <w:rsid w:val="00A23573"/>
    <w:rsid w:val="00A45B15"/>
    <w:rsid w:val="00A81D5F"/>
    <w:rsid w:val="00A96159"/>
    <w:rsid w:val="00B31BDB"/>
    <w:rsid w:val="00BD7730"/>
    <w:rsid w:val="00C16D9C"/>
    <w:rsid w:val="00CB275A"/>
    <w:rsid w:val="00CF5BD5"/>
    <w:rsid w:val="00D02DFB"/>
    <w:rsid w:val="00DB660C"/>
    <w:rsid w:val="00ED6CF4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4EC6B3FC-B0B3-4692-B1E2-1F2B2DE8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961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30</cp:revision>
  <cp:lastPrinted>2021-08-17T09:04:00Z</cp:lastPrinted>
  <dcterms:created xsi:type="dcterms:W3CDTF">2021-08-13T09:00:00Z</dcterms:created>
  <dcterms:modified xsi:type="dcterms:W3CDTF">2021-09-09T15:00:00Z</dcterms:modified>
</cp:coreProperties>
</file>