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268AA2" w14:textId="77777777" w:rsidR="00295F3E" w:rsidRDefault="00295F3E" w:rsidP="008A7236">
      <w:pPr>
        <w:jc w:val="both"/>
      </w:pPr>
    </w:p>
    <w:p w14:paraId="7CED4965" w14:textId="72B2DAF2" w:rsidR="00702393" w:rsidRDefault="00295F3E" w:rsidP="00295F3E">
      <w:pPr>
        <w:jc w:val="center"/>
        <w:rPr>
          <w:rFonts w:ascii="Times New Roman" w:hAnsi="Times New Roman" w:cs="Times New Roman"/>
          <w:b/>
          <w:sz w:val="24"/>
          <w:szCs w:val="24"/>
        </w:rPr>
      </w:pPr>
      <w:r w:rsidRPr="00295F3E">
        <w:rPr>
          <w:rFonts w:ascii="Times New Roman" w:hAnsi="Times New Roman" w:cs="Times New Roman"/>
          <w:b/>
          <w:sz w:val="24"/>
          <w:szCs w:val="24"/>
        </w:rPr>
        <w:t>Пропуск истцом срока исковой давности до предъявления иска является самостоятельным основанием для отказа в иске</w:t>
      </w:r>
      <w:r>
        <w:rPr>
          <w:rFonts w:ascii="Times New Roman" w:hAnsi="Times New Roman" w:cs="Times New Roman"/>
          <w:b/>
          <w:sz w:val="24"/>
          <w:szCs w:val="24"/>
        </w:rPr>
        <w:t>.</w:t>
      </w:r>
    </w:p>
    <w:p w14:paraId="485D218C" w14:textId="60519470" w:rsidR="00916294"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 xml:space="preserve">И., М., С., Х. и К. обратились в суд с иском к ПК «Ю», АО «Банк», ТОО «А», ТОО «Д» о признании недействительными протокола общего собрания пайщиков и договоров залога недвижимого имущества, поступивших по ходатайству АО «Банк» о пересмотре в порядке надзора вынесенных по делу судебных актов. Иск мотивирован тем, что при принятии общим собранием ПК решения от 17 ноября 2008 года о предоставлении в залог банку недвижимого имущества не было соблюдено требование о кворуме, в </w:t>
      </w:r>
      <w:proofErr w:type="gramStart"/>
      <w:r w:rsidRPr="00295F3E">
        <w:rPr>
          <w:rFonts w:ascii="Times New Roman" w:hAnsi="Times New Roman" w:cs="Times New Roman"/>
          <w:sz w:val="24"/>
          <w:szCs w:val="24"/>
        </w:rPr>
        <w:t>связи</w:t>
      </w:r>
      <w:proofErr w:type="gramEnd"/>
      <w:r w:rsidRPr="00295F3E">
        <w:rPr>
          <w:rFonts w:ascii="Times New Roman" w:hAnsi="Times New Roman" w:cs="Times New Roman"/>
          <w:sz w:val="24"/>
          <w:szCs w:val="24"/>
        </w:rPr>
        <w:t xml:space="preserve"> с чем оспариваемый протокол и принятое на нем решение не могут являться основанием для заключения договора залога недвижимого имущества ПК «Ю». Решением специализированного межрайонного экономического суда </w:t>
      </w:r>
      <w:proofErr w:type="spellStart"/>
      <w:r w:rsidRPr="00295F3E">
        <w:rPr>
          <w:rFonts w:ascii="Times New Roman" w:hAnsi="Times New Roman" w:cs="Times New Roman"/>
          <w:sz w:val="24"/>
          <w:szCs w:val="24"/>
        </w:rPr>
        <w:t>Жамбылской</w:t>
      </w:r>
      <w:proofErr w:type="spellEnd"/>
      <w:r w:rsidRPr="00295F3E">
        <w:rPr>
          <w:rFonts w:ascii="Times New Roman" w:hAnsi="Times New Roman" w:cs="Times New Roman"/>
          <w:sz w:val="24"/>
          <w:szCs w:val="24"/>
        </w:rPr>
        <w:t xml:space="preserve"> области от 28 марта 2013 года иск удовлетворен частично. Признано недействительным решение общего собрания пайщиков ПК «Ю» от 17 ноября 2008 года. В удовлетворении требований о признании </w:t>
      </w:r>
      <w:proofErr w:type="gramStart"/>
      <w:r w:rsidRPr="00295F3E">
        <w:rPr>
          <w:rFonts w:ascii="Times New Roman" w:hAnsi="Times New Roman" w:cs="Times New Roman"/>
          <w:sz w:val="24"/>
          <w:szCs w:val="24"/>
        </w:rPr>
        <w:t>недействительными</w:t>
      </w:r>
      <w:proofErr w:type="gramEnd"/>
      <w:r w:rsidRPr="00295F3E">
        <w:rPr>
          <w:rFonts w:ascii="Times New Roman" w:hAnsi="Times New Roman" w:cs="Times New Roman"/>
          <w:sz w:val="24"/>
          <w:szCs w:val="24"/>
        </w:rPr>
        <w:t xml:space="preserve"> договоров залога недвижимого имущества отказано. Постановлением апелляционной судебной коллегии по </w:t>
      </w:r>
      <w:hyperlink r:id="rId7" w:history="1">
        <w:r w:rsidRPr="00916294">
          <w:rPr>
            <w:rStyle w:val="aa"/>
            <w:rFonts w:ascii="Times New Roman" w:hAnsi="Times New Roman" w:cs="Times New Roman"/>
            <w:sz w:val="24"/>
            <w:szCs w:val="24"/>
          </w:rPr>
          <w:t>гражданским и административным делам</w:t>
        </w:r>
      </w:hyperlink>
      <w:r w:rsidRPr="00295F3E">
        <w:rPr>
          <w:rFonts w:ascii="Times New Roman" w:hAnsi="Times New Roman" w:cs="Times New Roman"/>
          <w:sz w:val="24"/>
          <w:szCs w:val="24"/>
        </w:rPr>
        <w:t xml:space="preserve"> решение суда изменено, в части отказа в иске отменено, вынесено новое решение об удовлетворении иска в этой части. В остальной части решение суда оставлено без изменения. Кассационная судебная коллегия постановление апелляционной инстанции оставила без изменения.</w:t>
      </w:r>
    </w:p>
    <w:p w14:paraId="2EDE20C2" w14:textId="77777777" w:rsidR="00916294"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 xml:space="preserve"> В ходатайстве заявитель просил изменить решение суда в части отказа в удовлетворении иска и отменить постановления апелляционной и кассационной инстанций в части удовлетворения иска с оставлением в этой части решения суда, ссылаясь на допущенные судами нарушения норм материального и процессуального права. Изучив материалы дела, надзорная судебная коллегия по гражданским и административным делам Верховного Суда пришла к следующему выводу. Согласно подпунктам 1), 3), 4) части 1 статьи 364 ГПК основаниями к отмене либо изменению решения суда являются неправильное определение и выяснение круга обстоятельств, имеющих значение для дела, несоответствие выводов суда, изложенных в решении, обстоятельствам дела, неправильное применение норм материального права. Материалами дела установлено, что 24 декабря 2008 года между кредитором АО «Банк» и заемщиками ТОО «А» и ТОО «Д» заключено Генеральное кредитное соглашение, согласно которому банк установил заемщикам возобновляемую кредитную линию в размере 95 000 000 тенге. </w:t>
      </w:r>
      <w:proofErr w:type="gramStart"/>
      <w:r w:rsidRPr="00295F3E">
        <w:rPr>
          <w:rFonts w:ascii="Times New Roman" w:hAnsi="Times New Roman" w:cs="Times New Roman"/>
          <w:sz w:val="24"/>
          <w:szCs w:val="24"/>
        </w:rPr>
        <w:t>Во исполнение принятых ТОО «А» и ТОО «Д» по кредитному соглашению обязательств кредитором с заемщиками и ПК «Ю», как залогодателем, 24 декабря 2008 года были заключены договора залога: №961/1z недвижимого имущества в виде административного здания с правом аренды земельного участка площадью 0,1832га; №961/2z недвижимого имущества в виде мельницы с правом аренды земельного участка площадью 0,6096га;</w:t>
      </w:r>
      <w:proofErr w:type="gramEnd"/>
      <w:r w:rsidRPr="00295F3E">
        <w:rPr>
          <w:rFonts w:ascii="Times New Roman" w:hAnsi="Times New Roman" w:cs="Times New Roman"/>
          <w:sz w:val="24"/>
          <w:szCs w:val="24"/>
        </w:rPr>
        <w:t xml:space="preserve"> № 961/3z недвижимого имущества в виде консервного цеха с земельным участком площадью 2,4300га на праве временного возмездного землепользования (аренды) сроком на 6 лет; № 961/4z недвижимого имущества в виде комплексной базы с правом временного долгосрочного возмездного землепользования земельным участком площадью 2,84га.</w:t>
      </w:r>
    </w:p>
    <w:p w14:paraId="5BE736A8" w14:textId="77777777" w:rsidR="00916294"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 xml:space="preserve"> Заключая оспариваемые договора залога, председатель правления ПК «Ю» А. действовал в соответствии с уставом ПК «Ю» и решением общего собрания пайщиков от 17 ноября 2008 года. Удовлетворяя исковые требования истцов, суды пришли к выводу, что на </w:t>
      </w:r>
      <w:r w:rsidRPr="00295F3E">
        <w:rPr>
          <w:rFonts w:ascii="Times New Roman" w:hAnsi="Times New Roman" w:cs="Times New Roman"/>
          <w:sz w:val="24"/>
          <w:szCs w:val="24"/>
        </w:rPr>
        <w:lastRenderedPageBreak/>
        <w:t xml:space="preserve">общем собрании ПК «Ю» от 17 ноября 2008 года из 679 членов принимали участие только 264 члена ПК, т.е. кворума не было. Истцами не пропущен срок исковой давности, поскольку о существовании оспариваемого ими протокола общего собрания ПК «Ю» они узнали только в октябре 2012 года. Указанные выводы судов являются необоснованными, противоречат нормам законодательства и не соответствуют фактическим обстоятельствам дела. </w:t>
      </w:r>
      <w:proofErr w:type="gramStart"/>
      <w:r w:rsidRPr="00295F3E">
        <w:rPr>
          <w:rFonts w:ascii="Times New Roman" w:hAnsi="Times New Roman" w:cs="Times New Roman"/>
          <w:sz w:val="24"/>
          <w:szCs w:val="24"/>
        </w:rPr>
        <w:t>Согласно пункту 10 устава ПК «Ю», утвержденного решением общего собрания его членов от 20 января 2005 года, председатель кооператива осуществляет повседневное руководство деятельностью ПК, выполняет решения общего собрания, представляет кооператив во взаимоотношениях с различными государственными и негосударственными организациями, отдельными гражданами, заключает от имени кооператива хозяйственные договоры, участвует в собрании членов кооператива.</w:t>
      </w:r>
      <w:proofErr w:type="gramEnd"/>
      <w:r w:rsidRPr="00295F3E">
        <w:rPr>
          <w:rFonts w:ascii="Times New Roman" w:hAnsi="Times New Roman" w:cs="Times New Roman"/>
          <w:sz w:val="24"/>
          <w:szCs w:val="24"/>
        </w:rPr>
        <w:t xml:space="preserve"> Из смысла статьи 16 и пункта 7 статьи 18 Закона «О производственном кооперативе» (далее – Закон) следует, что председатель правления (председатель кооператива) при распоряжении имуществом кооператива должен получить предварительное одобрение сделок на сумму, превышающую величину, установленную уставом. Уставом ПК «Ю» эта сумма не была установлена, поэтому необоснованными являются выводы судов о том, что председателем правления ПК «Ю» А. без согласия общего собрания пайщиков не мог быть решен вопрос о залоге имущества кооператива и его внесудебной реализации.</w:t>
      </w:r>
    </w:p>
    <w:p w14:paraId="45C7C877" w14:textId="25294E46" w:rsidR="00916294" w:rsidRDefault="00295F3E" w:rsidP="00295F3E">
      <w:pPr>
        <w:ind w:firstLine="720"/>
        <w:jc w:val="both"/>
        <w:rPr>
          <w:rFonts w:ascii="Times New Roman" w:hAnsi="Times New Roman" w:cs="Times New Roman"/>
          <w:sz w:val="24"/>
          <w:szCs w:val="24"/>
        </w:rPr>
      </w:pPr>
      <w:r w:rsidRPr="00295F3E">
        <w:rPr>
          <w:rFonts w:ascii="Times New Roman" w:hAnsi="Times New Roman" w:cs="Times New Roman"/>
          <w:sz w:val="24"/>
          <w:szCs w:val="24"/>
        </w:rPr>
        <w:t xml:space="preserve"> </w:t>
      </w:r>
      <w:proofErr w:type="gramStart"/>
      <w:r w:rsidRPr="00295F3E">
        <w:rPr>
          <w:rFonts w:ascii="Times New Roman" w:hAnsi="Times New Roman" w:cs="Times New Roman"/>
          <w:sz w:val="24"/>
          <w:szCs w:val="24"/>
        </w:rPr>
        <w:t>Согласно пункту 3 статьи 99 ГК к исключительной компетенции общего собрания членов производственного кооператива относится: 1) изменение устава кооператива; 2) образование исполнительных, ревизионных органов и наблюдательного совета и отзыв их членов; 3) прием и исключение членов кооператива; 4) утверждение финансовой отчетности кооператива и распределение его чистого дохода; 5) решение о реорганизации и ликвидации кооператива.</w:t>
      </w:r>
      <w:proofErr w:type="gramEnd"/>
      <w:r w:rsidRPr="00295F3E">
        <w:rPr>
          <w:rFonts w:ascii="Times New Roman" w:hAnsi="Times New Roman" w:cs="Times New Roman"/>
          <w:sz w:val="24"/>
          <w:szCs w:val="24"/>
        </w:rPr>
        <w:t xml:space="preserve"> Законодательными актами и учредительными документами к исключительной компетенции общего собрания может быть также отнесено решение иных вопросов. Вопросы, отнесенные к исключительной компетенции общего собрания или наблюдательного совета кооператива, не могут быть переданы ими к </w:t>
      </w:r>
      <w:hyperlink r:id="rId8" w:history="1">
        <w:r w:rsidRPr="00916294">
          <w:rPr>
            <w:rStyle w:val="aa"/>
            <w:rFonts w:ascii="Times New Roman" w:hAnsi="Times New Roman" w:cs="Times New Roman"/>
            <w:sz w:val="24"/>
            <w:szCs w:val="24"/>
          </w:rPr>
          <w:t>решению исполнительных органов</w:t>
        </w:r>
      </w:hyperlink>
      <w:r w:rsidRPr="00295F3E">
        <w:rPr>
          <w:rFonts w:ascii="Times New Roman" w:hAnsi="Times New Roman" w:cs="Times New Roman"/>
          <w:sz w:val="24"/>
          <w:szCs w:val="24"/>
        </w:rPr>
        <w:t xml:space="preserve"> кооператива. Согласно пункту 7 статьи 18 Закона применительно к данному делу к компетенции исполнительного органа ПК «Ю» относится, в том числе и распоряжение имуществом ПК «Ю» в пределах, предусмотренных Законом. В Законе и уставе ПК «Ю» отсутствуют положения об отнесении к компетенции общего собрания вопроса о залоге имущества производственного кооператива. </w:t>
      </w:r>
    </w:p>
    <w:p w14:paraId="5509C40C" w14:textId="39B93954" w:rsidR="00295F3E" w:rsidRPr="00295F3E" w:rsidRDefault="00295F3E" w:rsidP="00295F3E">
      <w:pPr>
        <w:ind w:firstLine="720"/>
        <w:jc w:val="both"/>
        <w:rPr>
          <w:rFonts w:ascii="Times New Roman" w:hAnsi="Times New Roman" w:cs="Times New Roman"/>
          <w:b/>
          <w:bCs/>
          <w:sz w:val="24"/>
          <w:szCs w:val="24"/>
        </w:rPr>
      </w:pPr>
      <w:r w:rsidRPr="00295F3E">
        <w:rPr>
          <w:rFonts w:ascii="Times New Roman" w:hAnsi="Times New Roman" w:cs="Times New Roman"/>
          <w:sz w:val="24"/>
          <w:szCs w:val="24"/>
        </w:rPr>
        <w:t xml:space="preserve">Выводы судов о том, что истцы не пропустили срок исковой давности, о применении которого заявило АО «Банк», поскольку о данном собрании истцам стало известно лишь в октябре 2012 года, несостоятельны по следующим основаниям. Согласно пункту 1 статьи 178 ГК общий срок исковой давности устанавливается в три года. В соответствии с пунктом 1 статьи 180 ГК течение срока исковой давности начинается со дня, когда лицо узнало или должно было узнать о нарушении права. Согласно пункту 3 статьи 179 ГК истечение срока исковой давности до предъявления иска является основанием к вынесению судом решения об отказе в иске. </w:t>
      </w:r>
      <w:hyperlink r:id="rId9" w:history="1">
        <w:r w:rsidRPr="00916294">
          <w:rPr>
            <w:rStyle w:val="aa"/>
            <w:rFonts w:ascii="Times New Roman" w:hAnsi="Times New Roman" w:cs="Times New Roman"/>
            <w:sz w:val="24"/>
            <w:szCs w:val="24"/>
          </w:rPr>
          <w:t>Пропуск истцом срока исковой</w:t>
        </w:r>
      </w:hyperlink>
      <w:bookmarkStart w:id="0" w:name="_GoBack"/>
      <w:bookmarkEnd w:id="0"/>
      <w:r w:rsidRPr="00295F3E">
        <w:rPr>
          <w:rFonts w:ascii="Times New Roman" w:hAnsi="Times New Roman" w:cs="Times New Roman"/>
          <w:sz w:val="24"/>
          <w:szCs w:val="24"/>
        </w:rPr>
        <w:t xml:space="preserve"> давности до предъявления иска является самостоятельным основанием для отказа в иске. Согласно статье 9 Закона член ПК имеет право получать полную информацию о деятельности кооператива, в том числе знакомиться с его бухгалтерской и другой документацией. Истцам должно было быть известно о решении общего собрания пайщиков ПК «Ю», начиная с 17 ноября 2008 года, и они имели возможность в течение срока исковой давности обратиться в суд за защитой своего нарушенного права, однако этого не сделали. Учитывая изложенное, надзорная судебная </w:t>
      </w:r>
      <w:r w:rsidRPr="00295F3E">
        <w:rPr>
          <w:rFonts w:ascii="Times New Roman" w:hAnsi="Times New Roman" w:cs="Times New Roman"/>
          <w:sz w:val="24"/>
          <w:szCs w:val="24"/>
        </w:rPr>
        <w:lastRenderedPageBreak/>
        <w:t xml:space="preserve">коллегия Верховного </w:t>
      </w:r>
      <w:proofErr w:type="gramStart"/>
      <w:r w:rsidRPr="00295F3E">
        <w:rPr>
          <w:rFonts w:ascii="Times New Roman" w:hAnsi="Times New Roman" w:cs="Times New Roman"/>
          <w:sz w:val="24"/>
          <w:szCs w:val="24"/>
        </w:rPr>
        <w:t>Суда</w:t>
      </w:r>
      <w:proofErr w:type="gramEnd"/>
      <w:r w:rsidRPr="00295F3E">
        <w:rPr>
          <w:rFonts w:ascii="Times New Roman" w:hAnsi="Times New Roman" w:cs="Times New Roman"/>
          <w:sz w:val="24"/>
          <w:szCs w:val="24"/>
        </w:rPr>
        <w:t xml:space="preserve"> вынесенные по делу судебные акты отменила с вынесением по делу нового решения об отказе в иске.</w:t>
      </w:r>
    </w:p>
    <w:p w14:paraId="6EA4E207" w14:textId="2A6631EA" w:rsidR="00CF5BD5" w:rsidRPr="00295F3E" w:rsidRDefault="00CF5BD5" w:rsidP="00295F3E">
      <w:pPr>
        <w:jc w:val="both"/>
        <w:rPr>
          <w:rFonts w:ascii="Times New Roman" w:hAnsi="Times New Roman" w:cs="Times New Roman"/>
          <w:sz w:val="24"/>
          <w:szCs w:val="24"/>
        </w:rPr>
      </w:pPr>
    </w:p>
    <w:p w14:paraId="2D95B0F4" w14:textId="62B25D66" w:rsidR="00CF5BD5" w:rsidRPr="00295F3E" w:rsidRDefault="00CF5BD5" w:rsidP="00295F3E">
      <w:pPr>
        <w:jc w:val="both"/>
        <w:rPr>
          <w:rFonts w:ascii="Times New Roman" w:hAnsi="Times New Roman" w:cs="Times New Roman"/>
          <w:sz w:val="24"/>
          <w:szCs w:val="24"/>
        </w:rPr>
      </w:pPr>
    </w:p>
    <w:p w14:paraId="6FB60D4F" w14:textId="3629882F" w:rsidR="00CF5BD5" w:rsidRPr="00295F3E" w:rsidRDefault="00CF5BD5" w:rsidP="00295F3E">
      <w:pPr>
        <w:jc w:val="both"/>
        <w:rPr>
          <w:rFonts w:ascii="Times New Roman" w:hAnsi="Times New Roman" w:cs="Times New Roman"/>
          <w:sz w:val="24"/>
          <w:szCs w:val="24"/>
        </w:rPr>
      </w:pPr>
    </w:p>
    <w:p w14:paraId="3D4E7522" w14:textId="3A2F50D5" w:rsidR="00F96E54" w:rsidRPr="00295F3E" w:rsidRDefault="002A1A72" w:rsidP="002570B0">
      <w:r w:rsidRPr="00295F3E">
        <w:t xml:space="preserve"> </w:t>
      </w:r>
    </w:p>
    <w:p w14:paraId="443CC855" w14:textId="57D342E4" w:rsidR="00F173BA" w:rsidRPr="00295F3E" w:rsidRDefault="00F173BA" w:rsidP="002570B0"/>
    <w:p w14:paraId="5EBA15D2" w14:textId="23E3EFD5" w:rsidR="00F173BA" w:rsidRPr="00295F3E" w:rsidRDefault="00F173BA" w:rsidP="002570B0"/>
    <w:p w14:paraId="7A749059" w14:textId="64D29B98" w:rsidR="00F173BA" w:rsidRPr="00295F3E" w:rsidRDefault="00F173BA" w:rsidP="002570B0"/>
    <w:p w14:paraId="7EA7FA65" w14:textId="0D3DEF47" w:rsidR="00F173BA" w:rsidRPr="00295F3E" w:rsidRDefault="00F173BA" w:rsidP="002570B0"/>
    <w:p w14:paraId="1C113091" w14:textId="5A80DFE0" w:rsidR="00F173BA" w:rsidRPr="00295F3E" w:rsidRDefault="00F173BA" w:rsidP="002570B0"/>
    <w:p w14:paraId="1D196CDE" w14:textId="737247FA" w:rsidR="00F173BA" w:rsidRPr="00295F3E" w:rsidRDefault="00F173BA" w:rsidP="002570B0"/>
    <w:p w14:paraId="02403F08" w14:textId="75BEB719" w:rsidR="00F173BA" w:rsidRPr="00295F3E" w:rsidRDefault="00F173BA" w:rsidP="002570B0"/>
    <w:p w14:paraId="308325D5" w14:textId="324F2E94" w:rsidR="00F173BA" w:rsidRPr="00295F3E" w:rsidRDefault="00F173BA" w:rsidP="002570B0"/>
    <w:p w14:paraId="22BAA135" w14:textId="6CC745FE" w:rsidR="00F173BA" w:rsidRPr="00295F3E" w:rsidRDefault="00F173BA" w:rsidP="002570B0"/>
    <w:p w14:paraId="33D51603" w14:textId="10BA4AEF" w:rsidR="00F173BA" w:rsidRPr="00295F3E" w:rsidRDefault="00F173BA" w:rsidP="002570B0"/>
    <w:p w14:paraId="55D95E22" w14:textId="0EFD17BF" w:rsidR="00F173BA" w:rsidRPr="00295F3E" w:rsidRDefault="00F173BA" w:rsidP="002570B0"/>
    <w:p w14:paraId="1E84A240" w14:textId="61513D00" w:rsidR="00F173BA" w:rsidRPr="00295F3E" w:rsidRDefault="00F173BA" w:rsidP="002570B0"/>
    <w:p w14:paraId="049E1B58" w14:textId="408BB97D" w:rsidR="00F173BA" w:rsidRPr="00295F3E" w:rsidRDefault="00F173BA" w:rsidP="002570B0"/>
    <w:p w14:paraId="3F19C72F" w14:textId="49CAEBA5" w:rsidR="00F173BA" w:rsidRPr="00295F3E" w:rsidRDefault="00F173BA" w:rsidP="00F173BA">
      <w:pPr>
        <w:tabs>
          <w:tab w:val="left" w:pos="6948"/>
        </w:tabs>
      </w:pPr>
      <w:r w:rsidRPr="00295F3E">
        <w:tab/>
      </w:r>
    </w:p>
    <w:sectPr w:rsidR="00F173BA" w:rsidRPr="00295F3E" w:rsidSect="00327D34">
      <w:headerReference w:type="default" r:id="rId10"/>
      <w:footerReference w:type="default" r:id="rId11"/>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59DCE4" w14:textId="77777777" w:rsidR="00B979CC" w:rsidRDefault="00B979CC" w:rsidP="00702393">
      <w:pPr>
        <w:spacing w:after="0" w:line="240" w:lineRule="auto"/>
      </w:pPr>
      <w:r>
        <w:separator/>
      </w:r>
    </w:p>
  </w:endnote>
  <w:endnote w:type="continuationSeparator" w:id="0">
    <w:p w14:paraId="1928F4AD" w14:textId="77777777" w:rsidR="00B979CC" w:rsidRDefault="00B979CC"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347910" w14:textId="77777777" w:rsidR="00B979CC" w:rsidRDefault="00B979CC" w:rsidP="00702393">
      <w:pPr>
        <w:spacing w:after="0" w:line="240" w:lineRule="auto"/>
      </w:pPr>
      <w:r>
        <w:separator/>
      </w:r>
    </w:p>
  </w:footnote>
  <w:footnote w:type="continuationSeparator" w:id="0">
    <w:p w14:paraId="09AE7B0D" w14:textId="77777777" w:rsidR="00B979CC" w:rsidRDefault="00B979CC" w:rsidP="007023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3342E" w14:textId="12588969" w:rsidR="00702393" w:rsidRPr="00017580" w:rsidRDefault="002A1A72" w:rsidP="00193E1B">
    <w:pPr>
      <w:pStyle w:val="a4"/>
      <w:jc w:val="both"/>
    </w:pPr>
    <w:r>
      <w:rPr>
        <w:noProof/>
        <w:lang w:eastAsia="ru-RU"/>
      </w:rPr>
      <w:drawing>
        <wp:anchor distT="0" distB="0" distL="114300" distR="114300" simplePos="0" relativeHeight="251660288" behindDoc="1" locked="0" layoutInCell="1" allowOverlap="1" wp14:anchorId="0720D792" wp14:editId="699C2DF3">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4CD40BCC" wp14:editId="4A7D138B">
          <wp:simplePos x="0" y="0"/>
          <wp:positionH relativeFrom="margin">
            <wp:posOffset>4886325</wp:posOffset>
          </wp:positionH>
          <wp:positionV relativeFrom="paragraph">
            <wp:posOffset>564515</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18D1332F">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59E"/>
    <w:rsid w:val="00017580"/>
    <w:rsid w:val="00152128"/>
    <w:rsid w:val="001539CF"/>
    <w:rsid w:val="00193E1B"/>
    <w:rsid w:val="001C5801"/>
    <w:rsid w:val="002570B0"/>
    <w:rsid w:val="00295F3E"/>
    <w:rsid w:val="002A1A72"/>
    <w:rsid w:val="002B659E"/>
    <w:rsid w:val="00327D34"/>
    <w:rsid w:val="00327E86"/>
    <w:rsid w:val="00396063"/>
    <w:rsid w:val="003A25B0"/>
    <w:rsid w:val="003C77EA"/>
    <w:rsid w:val="003E3623"/>
    <w:rsid w:val="00442855"/>
    <w:rsid w:val="006B0A4D"/>
    <w:rsid w:val="006E2D0A"/>
    <w:rsid w:val="00702393"/>
    <w:rsid w:val="00722D19"/>
    <w:rsid w:val="008A7236"/>
    <w:rsid w:val="008E7DF6"/>
    <w:rsid w:val="0091354D"/>
    <w:rsid w:val="00916294"/>
    <w:rsid w:val="0094655E"/>
    <w:rsid w:val="009E6904"/>
    <w:rsid w:val="00A23573"/>
    <w:rsid w:val="00A45B15"/>
    <w:rsid w:val="00B31BDB"/>
    <w:rsid w:val="00B979CC"/>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295F3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95F3E"/>
    <w:rPr>
      <w:rFonts w:ascii="Tahoma" w:hAnsi="Tahoma" w:cs="Tahoma"/>
      <w:sz w:val="16"/>
      <w:szCs w:val="16"/>
    </w:rPr>
  </w:style>
  <w:style w:type="character" w:styleId="aa">
    <w:name w:val="Hyperlink"/>
    <w:basedOn w:val="a0"/>
    <w:uiPriority w:val="99"/>
    <w:unhideWhenUsed/>
    <w:rsid w:val="0091629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295F3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95F3E"/>
    <w:rPr>
      <w:rFonts w:ascii="Tahoma" w:hAnsi="Tahoma" w:cs="Tahoma"/>
      <w:sz w:val="16"/>
      <w:szCs w:val="16"/>
    </w:rPr>
  </w:style>
  <w:style w:type="character" w:styleId="aa">
    <w:name w:val="Hyperlink"/>
    <w:basedOn w:val="a0"/>
    <w:uiPriority w:val="99"/>
    <w:unhideWhenUsed/>
    <w:rsid w:val="009162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center.kz/bullet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pravo.kz/publikacii/"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acebook.com/ZakonPravoKa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1110</Words>
  <Characters>6327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Admin</cp:lastModifiedBy>
  <cp:revision>28</cp:revision>
  <cp:lastPrinted>2021-08-17T09:04:00Z</cp:lastPrinted>
  <dcterms:created xsi:type="dcterms:W3CDTF">2021-08-13T09:00:00Z</dcterms:created>
  <dcterms:modified xsi:type="dcterms:W3CDTF">2021-09-03T09:57:00Z</dcterms:modified>
</cp:coreProperties>
</file>