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C00D4" w14:textId="77777777" w:rsidR="003A2469" w:rsidRDefault="003A2469" w:rsidP="008A7236">
      <w:pPr>
        <w:jc w:val="both"/>
      </w:pPr>
    </w:p>
    <w:p w14:paraId="7CED4965" w14:textId="01FB0000" w:rsidR="00702393" w:rsidRDefault="0052300A" w:rsidP="003A2469">
      <w:pPr>
        <w:jc w:val="center"/>
        <w:rPr>
          <w:rFonts w:ascii="Times New Roman" w:hAnsi="Times New Roman" w:cs="Times New Roman"/>
          <w:b/>
          <w:sz w:val="24"/>
          <w:szCs w:val="24"/>
        </w:rPr>
      </w:pPr>
      <w:r>
        <w:rPr>
          <w:rFonts w:ascii="Times New Roman" w:hAnsi="Times New Roman" w:cs="Times New Roman"/>
          <w:b/>
          <w:sz w:val="24"/>
          <w:szCs w:val="24"/>
        </w:rPr>
        <w:t>С</w:t>
      </w:r>
      <w:r w:rsidR="003A2469" w:rsidRPr="003A2469">
        <w:rPr>
          <w:rFonts w:ascii="Times New Roman" w:hAnsi="Times New Roman" w:cs="Times New Roman"/>
          <w:b/>
          <w:sz w:val="24"/>
          <w:szCs w:val="24"/>
        </w:rPr>
        <w:t>удебн</w:t>
      </w:r>
      <w:r>
        <w:rPr>
          <w:rFonts w:ascii="Times New Roman" w:hAnsi="Times New Roman" w:cs="Times New Roman"/>
          <w:b/>
          <w:sz w:val="24"/>
          <w:szCs w:val="24"/>
        </w:rPr>
        <w:t>ая</w:t>
      </w:r>
      <w:r w:rsidR="003A2469" w:rsidRPr="003A2469">
        <w:rPr>
          <w:rFonts w:ascii="Times New Roman" w:hAnsi="Times New Roman" w:cs="Times New Roman"/>
          <w:b/>
          <w:sz w:val="24"/>
          <w:szCs w:val="24"/>
        </w:rPr>
        <w:t xml:space="preserve"> практик</w:t>
      </w:r>
      <w:r>
        <w:rPr>
          <w:rFonts w:ascii="Times New Roman" w:hAnsi="Times New Roman" w:cs="Times New Roman"/>
          <w:b/>
          <w:sz w:val="24"/>
          <w:szCs w:val="24"/>
        </w:rPr>
        <w:t>а</w:t>
      </w:r>
      <w:r w:rsidR="003A2469" w:rsidRPr="003A2469">
        <w:rPr>
          <w:rFonts w:ascii="Times New Roman" w:hAnsi="Times New Roman" w:cs="Times New Roman"/>
          <w:b/>
          <w:sz w:val="24"/>
          <w:szCs w:val="24"/>
        </w:rPr>
        <w:t xml:space="preserve"> по гражданским делам с участием таможенных орган</w:t>
      </w:r>
    </w:p>
    <w:p w14:paraId="2F529622" w14:textId="77777777" w:rsidR="0052300A" w:rsidRDefault="003A2469" w:rsidP="003A2469">
      <w:pPr>
        <w:ind w:firstLine="720"/>
        <w:jc w:val="both"/>
        <w:rPr>
          <w:rFonts w:ascii="Times New Roman" w:hAnsi="Times New Roman" w:cs="Times New Roman"/>
          <w:sz w:val="24"/>
          <w:szCs w:val="24"/>
        </w:rPr>
      </w:pPr>
      <w:r w:rsidRPr="003A2469">
        <w:rPr>
          <w:rFonts w:ascii="Times New Roman" w:hAnsi="Times New Roman" w:cs="Times New Roman"/>
          <w:sz w:val="24"/>
          <w:szCs w:val="24"/>
        </w:rPr>
        <w:t xml:space="preserve">Обобщение проводилось посредством изучения практики применения судами таможенного законодательства таможенного союза и национального таможенного законодательства с целью выработки рекомендаций по формированию единообразной </w:t>
      </w:r>
      <w:hyperlink r:id="rId6" w:history="1">
        <w:r w:rsidRPr="00D07E03">
          <w:rPr>
            <w:rStyle w:val="aa"/>
            <w:rFonts w:ascii="Times New Roman" w:hAnsi="Times New Roman" w:cs="Times New Roman"/>
            <w:sz w:val="24"/>
            <w:szCs w:val="24"/>
          </w:rPr>
          <w:t>судебной практики</w:t>
        </w:r>
      </w:hyperlink>
      <w:r w:rsidRPr="003A2469">
        <w:rPr>
          <w:rFonts w:ascii="Times New Roman" w:hAnsi="Times New Roman" w:cs="Times New Roman"/>
          <w:sz w:val="24"/>
          <w:szCs w:val="24"/>
        </w:rPr>
        <w:t xml:space="preserve"> в рамках таможенного союза. Предметом обобщения явились дела по искам об оспаривании действий и решений таможенного органа (в порядке главы 27 ГПК, по искам таможенных органов к декларантам-физическим лицам о взыскании задолженности по таможенным платежам, налогам и пени. </w:t>
      </w:r>
    </w:p>
    <w:p w14:paraId="33F5E7BC" w14:textId="153BB9C6" w:rsidR="00D07E03" w:rsidRDefault="003A2469" w:rsidP="003A2469">
      <w:pPr>
        <w:ind w:firstLine="720"/>
        <w:jc w:val="both"/>
        <w:rPr>
          <w:rFonts w:ascii="Times New Roman" w:hAnsi="Times New Roman" w:cs="Times New Roman"/>
          <w:sz w:val="24"/>
          <w:szCs w:val="24"/>
        </w:rPr>
      </w:pPr>
      <w:r w:rsidRPr="003A2469">
        <w:rPr>
          <w:rFonts w:ascii="Times New Roman" w:hAnsi="Times New Roman" w:cs="Times New Roman"/>
          <w:sz w:val="24"/>
          <w:szCs w:val="24"/>
        </w:rPr>
        <w:t xml:space="preserve">С созданием Таможенного союза Республики Беларусь, Республики Казахстан и Российской Федерации с 01 июля 2010 года законодательство в сфере таможенного дела носит многоуровневый характер, что вызывает определенные сложности в правоприменительной практике. </w:t>
      </w:r>
    </w:p>
    <w:p w14:paraId="2299D650" w14:textId="77777777" w:rsidR="0052300A" w:rsidRDefault="003A2469" w:rsidP="003A2469">
      <w:pPr>
        <w:ind w:firstLine="720"/>
        <w:jc w:val="both"/>
        <w:rPr>
          <w:rFonts w:ascii="Times New Roman" w:hAnsi="Times New Roman" w:cs="Times New Roman"/>
          <w:sz w:val="24"/>
          <w:szCs w:val="24"/>
        </w:rPr>
      </w:pPr>
      <w:r w:rsidRPr="003A2469">
        <w:rPr>
          <w:rFonts w:ascii="Times New Roman" w:hAnsi="Times New Roman" w:cs="Times New Roman"/>
          <w:sz w:val="24"/>
          <w:szCs w:val="24"/>
        </w:rPr>
        <w:t xml:space="preserve">В силу пункта 2 статьи 1 Таможенного кодекса таможенного союза, введенного в действие на территории Республики Казахстан с 01 июля 2010 года, таможенное регулирование в таможенном союзе осуществляется в соответствии с таможенным законодательством таможенного союза, а в части не урегулированной таким законодательством, – в соответствии с законодательством государств-членов таможенного союза. То есть, нормы таможенного законодательства таможенного союза имеют прямое действие. Вопросы, отнесенные </w:t>
      </w:r>
      <w:hyperlink r:id="rId7" w:history="1">
        <w:r w:rsidRPr="00D07E03">
          <w:rPr>
            <w:rStyle w:val="aa"/>
            <w:rFonts w:ascii="Times New Roman" w:hAnsi="Times New Roman" w:cs="Times New Roman"/>
            <w:sz w:val="24"/>
            <w:szCs w:val="24"/>
          </w:rPr>
          <w:t>к уровню национального законодательства</w:t>
        </w:r>
      </w:hyperlink>
      <w:r w:rsidRPr="003A2469">
        <w:rPr>
          <w:rFonts w:ascii="Times New Roman" w:hAnsi="Times New Roman" w:cs="Times New Roman"/>
          <w:sz w:val="24"/>
          <w:szCs w:val="24"/>
        </w:rPr>
        <w:t xml:space="preserve">, регулируются Кодексом «О таможенном деле в Республике Казахстан». </w:t>
      </w:r>
    </w:p>
    <w:p w14:paraId="0A6CD758" w14:textId="77777777" w:rsidR="0052300A" w:rsidRDefault="003A2469" w:rsidP="003A2469">
      <w:pPr>
        <w:ind w:firstLine="720"/>
        <w:jc w:val="both"/>
        <w:rPr>
          <w:rFonts w:ascii="Times New Roman" w:hAnsi="Times New Roman" w:cs="Times New Roman"/>
          <w:sz w:val="24"/>
          <w:szCs w:val="24"/>
        </w:rPr>
      </w:pPr>
      <w:r w:rsidRPr="003A2469">
        <w:rPr>
          <w:rFonts w:ascii="Times New Roman" w:hAnsi="Times New Roman" w:cs="Times New Roman"/>
          <w:sz w:val="24"/>
          <w:szCs w:val="24"/>
        </w:rPr>
        <w:t xml:space="preserve">В этом кодексе нашли отражение нормы, регулирование которых прямо отнесено к ведению национального законодательства государств - членов таможенного союза или не затронуто Таможенным кодексом таможенного союза. Форма судебно-статистической отчетности не предусматривает отдельный учет дел с участием таможенных органов, поэтому все цифровые показатели, приведенные в обзоре, основаны на информации областных и приравненных к ним судов. </w:t>
      </w:r>
    </w:p>
    <w:p w14:paraId="3FCE2526" w14:textId="02BF92BC" w:rsidR="00D07E03" w:rsidRDefault="003A2469" w:rsidP="003A2469">
      <w:pPr>
        <w:ind w:firstLine="720"/>
        <w:jc w:val="both"/>
        <w:rPr>
          <w:rFonts w:ascii="Times New Roman" w:hAnsi="Times New Roman" w:cs="Times New Roman"/>
          <w:sz w:val="24"/>
          <w:szCs w:val="24"/>
        </w:rPr>
      </w:pPr>
      <w:r w:rsidRPr="003A2469">
        <w:rPr>
          <w:rFonts w:ascii="Times New Roman" w:hAnsi="Times New Roman" w:cs="Times New Roman"/>
          <w:sz w:val="24"/>
          <w:szCs w:val="24"/>
        </w:rPr>
        <w:t>Споры с участием таможенных органов рассматривались как судами общей юрисдикции, так и специализированными межрайонными экономическими судами (далее – экономический суд) по подсудности, установленной главой 3 ГПК, в зависимости от статуса другой стороны по делу – участника внешнеэкономической деятельности (физическое лицо, индивидуальный предприниматель, юридическое лицо, а также образование, не являющееся юридическим лицом). За обобщаемый период в суды республики поступило 1302 заявления по указанной категории, из них с вынесением решения рассмотрено – 823, что составляет 63,2%. В апелляционном, кассационном и надзорном порядке обжалованы 346 решений и постановлений судов, или 42% от общего количества вынесенных судебных актов.</w:t>
      </w:r>
    </w:p>
    <w:p w14:paraId="3EFF9D3A" w14:textId="77777777" w:rsidR="0052300A" w:rsidRDefault="003A2469" w:rsidP="003A2469">
      <w:pPr>
        <w:ind w:firstLine="720"/>
        <w:jc w:val="both"/>
        <w:rPr>
          <w:rFonts w:ascii="Times New Roman" w:hAnsi="Times New Roman" w:cs="Times New Roman"/>
          <w:sz w:val="24"/>
          <w:szCs w:val="24"/>
        </w:rPr>
      </w:pPr>
      <w:r w:rsidRPr="003A2469">
        <w:rPr>
          <w:rFonts w:ascii="Times New Roman" w:hAnsi="Times New Roman" w:cs="Times New Roman"/>
          <w:sz w:val="24"/>
          <w:szCs w:val="24"/>
        </w:rPr>
        <w:t xml:space="preserve"> Отменено 62 решения и постановления, изменено 67 решений и постановлений, что в процентном выражении составляет соответственно 17,9 и 19,4 процентов от количества обжалованных судебных актов. Анализ информации областных судов, а также изучение гражданских дел и надзорной практики Верховного Суда показал, что в основном судебная практика в сфере таможенного дела стабильна. </w:t>
      </w:r>
    </w:p>
    <w:p w14:paraId="73270DC7" w14:textId="77777777" w:rsidR="0052300A" w:rsidRDefault="003A2469" w:rsidP="003A2469">
      <w:pPr>
        <w:ind w:firstLine="720"/>
        <w:jc w:val="both"/>
        <w:rPr>
          <w:rFonts w:ascii="Times New Roman" w:hAnsi="Times New Roman" w:cs="Times New Roman"/>
          <w:sz w:val="24"/>
          <w:szCs w:val="24"/>
        </w:rPr>
      </w:pPr>
      <w:r w:rsidRPr="003A2469">
        <w:rPr>
          <w:rFonts w:ascii="Times New Roman" w:hAnsi="Times New Roman" w:cs="Times New Roman"/>
          <w:sz w:val="24"/>
          <w:szCs w:val="24"/>
        </w:rPr>
        <w:t xml:space="preserve">Однако проведенное обобщение выявило главную проблему в правоприменительной практике, как таможенных органов, так и местных судов, которое заключается в том, что зачастую не применяются нормы таможенного законодательства таможенного союза (далее – </w:t>
      </w:r>
      <w:r w:rsidRPr="003A2469">
        <w:rPr>
          <w:rFonts w:ascii="Times New Roman" w:hAnsi="Times New Roman" w:cs="Times New Roman"/>
          <w:sz w:val="24"/>
          <w:szCs w:val="24"/>
        </w:rPr>
        <w:lastRenderedPageBreak/>
        <w:t xml:space="preserve">таможенное законодательство ТС), имеющие безусловный приоритет перед национальным таможенным законодательством. Эта проблема связана с тем, что все таможенное законодательство ТС по состоянию на 01 июля 2010 года имплементировано в Кодекс «О  таможенном деле в Республике Казахстан», который содержит практически все нормы Таможенного кодекса ТС и дублирует международные соглашения, утвержденные решениями Межгосударственного Совета Евразийского экономического сообщества (высшего органа таможенного союза) до 01 июля 2010 года. Между тем, после 01 июля 2010 года, принято более 600 решений КТС, а со 02 февраля 2012 года активно работают Совет и Коллегия ЕЭК, решения, которых также относятся к таможенному законодательству ТС. </w:t>
      </w:r>
    </w:p>
    <w:p w14:paraId="442DEF21" w14:textId="77777777" w:rsidR="0052300A" w:rsidRDefault="003A2469" w:rsidP="003A2469">
      <w:pPr>
        <w:ind w:firstLine="720"/>
        <w:jc w:val="both"/>
        <w:rPr>
          <w:rFonts w:ascii="Times New Roman" w:hAnsi="Times New Roman" w:cs="Times New Roman"/>
          <w:sz w:val="24"/>
          <w:szCs w:val="24"/>
        </w:rPr>
      </w:pPr>
      <w:r w:rsidRPr="003A2469">
        <w:rPr>
          <w:rFonts w:ascii="Times New Roman" w:hAnsi="Times New Roman" w:cs="Times New Roman"/>
          <w:sz w:val="24"/>
          <w:szCs w:val="24"/>
        </w:rPr>
        <w:t xml:space="preserve">Обобщение показало, что таможенные органы работают исключительно по Кодексу «О таможенном деле в Республике Казахстан», в который не внедрены новации таможенного законодательства ТС, принятые после 01 июля 2012 года. Данное обстоятельство нередко остается вне поля зрения местных судов. В связи с чем, в целях ориентирования местных судов на правильное применение таможенного закона в настоящей справке выше перечислены основные нормативно-правовые акты, подлежащие применению при </w:t>
      </w:r>
      <w:hyperlink r:id="rId8" w:history="1">
        <w:r w:rsidRPr="00D07E03">
          <w:rPr>
            <w:rStyle w:val="aa"/>
            <w:rFonts w:ascii="Times New Roman" w:hAnsi="Times New Roman" w:cs="Times New Roman"/>
            <w:sz w:val="24"/>
            <w:szCs w:val="24"/>
          </w:rPr>
          <w:t>разрешении споров в сфере таможенного дела</w:t>
        </w:r>
      </w:hyperlink>
      <w:r w:rsidRPr="003A2469">
        <w:rPr>
          <w:rFonts w:ascii="Times New Roman" w:hAnsi="Times New Roman" w:cs="Times New Roman"/>
          <w:sz w:val="24"/>
          <w:szCs w:val="24"/>
        </w:rPr>
        <w:t xml:space="preserve">. </w:t>
      </w:r>
    </w:p>
    <w:p w14:paraId="4FC6667A" w14:textId="3C487E9C" w:rsidR="003A2469" w:rsidRPr="003A2469" w:rsidRDefault="003A2469" w:rsidP="003A2469">
      <w:pPr>
        <w:ind w:firstLine="720"/>
        <w:jc w:val="both"/>
        <w:rPr>
          <w:rFonts w:ascii="Times New Roman" w:hAnsi="Times New Roman" w:cs="Times New Roman"/>
          <w:b/>
          <w:bCs/>
          <w:sz w:val="24"/>
          <w:szCs w:val="24"/>
        </w:rPr>
      </w:pPr>
      <w:r w:rsidRPr="003A2469">
        <w:rPr>
          <w:rFonts w:ascii="Times New Roman" w:hAnsi="Times New Roman" w:cs="Times New Roman"/>
          <w:sz w:val="24"/>
          <w:szCs w:val="24"/>
        </w:rPr>
        <w:t>Анализ судебной практики показал, что имеются три ключевых направления, по которым возникают споры между таможенным органом и участниками внешнеэкономической деятельности: - классификация товаров; - таможенная стоимость товаров; - таможенная проверка. Основная масса гражданских дел связана с этими направлениями. Доля споров по другим направлениям незначительна.</w:t>
      </w:r>
    </w:p>
    <w:p w14:paraId="6EA4E207" w14:textId="2A6631EA" w:rsidR="00CF5BD5" w:rsidRPr="003A2469" w:rsidRDefault="00CF5BD5" w:rsidP="003A2469">
      <w:pPr>
        <w:jc w:val="both"/>
        <w:rPr>
          <w:rFonts w:ascii="Times New Roman" w:hAnsi="Times New Roman" w:cs="Times New Roman"/>
          <w:sz w:val="24"/>
          <w:szCs w:val="24"/>
        </w:rPr>
      </w:pPr>
    </w:p>
    <w:p w14:paraId="2D95B0F4" w14:textId="62B25D66" w:rsidR="00CF5BD5" w:rsidRPr="003A2469" w:rsidRDefault="00CF5BD5" w:rsidP="003A2469">
      <w:pPr>
        <w:jc w:val="both"/>
        <w:rPr>
          <w:rFonts w:ascii="Times New Roman" w:hAnsi="Times New Roman" w:cs="Times New Roman"/>
          <w:sz w:val="24"/>
          <w:szCs w:val="24"/>
        </w:rPr>
      </w:pPr>
    </w:p>
    <w:p w14:paraId="6FB60D4F" w14:textId="3629882F" w:rsidR="00CF5BD5" w:rsidRPr="003A2469" w:rsidRDefault="00CF5BD5" w:rsidP="003A2469">
      <w:pPr>
        <w:jc w:val="both"/>
        <w:rPr>
          <w:rFonts w:ascii="Times New Roman" w:hAnsi="Times New Roman" w:cs="Times New Roman"/>
          <w:sz w:val="24"/>
          <w:szCs w:val="24"/>
        </w:rPr>
      </w:pPr>
    </w:p>
    <w:p w14:paraId="3D4E7522" w14:textId="3A2F50D5" w:rsidR="00F96E54" w:rsidRPr="003A2469" w:rsidRDefault="002A1A72" w:rsidP="003A2469">
      <w:pPr>
        <w:jc w:val="both"/>
        <w:rPr>
          <w:rFonts w:ascii="Times New Roman" w:hAnsi="Times New Roman" w:cs="Times New Roman"/>
          <w:sz w:val="24"/>
          <w:szCs w:val="24"/>
        </w:rPr>
      </w:pPr>
      <w:r w:rsidRPr="003A2469">
        <w:rPr>
          <w:rFonts w:ascii="Times New Roman" w:hAnsi="Times New Roman" w:cs="Times New Roman"/>
          <w:sz w:val="24"/>
          <w:szCs w:val="24"/>
        </w:rPr>
        <w:t xml:space="preserve"> </w:t>
      </w:r>
    </w:p>
    <w:p w14:paraId="443CC855" w14:textId="57D342E4" w:rsidR="00F173BA" w:rsidRPr="003A2469" w:rsidRDefault="00F173BA" w:rsidP="003A2469">
      <w:pPr>
        <w:jc w:val="both"/>
        <w:rPr>
          <w:rFonts w:ascii="Times New Roman" w:hAnsi="Times New Roman" w:cs="Times New Roman"/>
          <w:sz w:val="24"/>
          <w:szCs w:val="24"/>
        </w:rPr>
      </w:pPr>
    </w:p>
    <w:p w14:paraId="5EBA15D2" w14:textId="23E3EFD5" w:rsidR="00F173BA" w:rsidRPr="003A2469" w:rsidRDefault="00F173BA" w:rsidP="003A2469">
      <w:pPr>
        <w:jc w:val="both"/>
        <w:rPr>
          <w:rFonts w:ascii="Times New Roman" w:hAnsi="Times New Roman" w:cs="Times New Roman"/>
          <w:sz w:val="24"/>
          <w:szCs w:val="24"/>
        </w:rPr>
      </w:pPr>
    </w:p>
    <w:p w14:paraId="7A749059" w14:textId="64D29B98" w:rsidR="00F173BA" w:rsidRPr="003A2469" w:rsidRDefault="00F173BA" w:rsidP="003A2469">
      <w:pPr>
        <w:jc w:val="both"/>
        <w:rPr>
          <w:rFonts w:ascii="Times New Roman" w:hAnsi="Times New Roman" w:cs="Times New Roman"/>
          <w:sz w:val="24"/>
          <w:szCs w:val="24"/>
        </w:rPr>
      </w:pPr>
    </w:p>
    <w:p w14:paraId="7EA7FA65" w14:textId="0D3DEF47" w:rsidR="00F173BA" w:rsidRPr="003A2469" w:rsidRDefault="00F173BA" w:rsidP="003A2469">
      <w:pPr>
        <w:jc w:val="both"/>
        <w:rPr>
          <w:rFonts w:ascii="Times New Roman" w:hAnsi="Times New Roman" w:cs="Times New Roman"/>
          <w:sz w:val="24"/>
          <w:szCs w:val="24"/>
        </w:rPr>
      </w:pPr>
    </w:p>
    <w:p w14:paraId="1C113091" w14:textId="5A80DFE0" w:rsidR="00F173BA" w:rsidRPr="003A2469" w:rsidRDefault="00F173BA" w:rsidP="003A2469">
      <w:pPr>
        <w:jc w:val="both"/>
        <w:rPr>
          <w:rFonts w:ascii="Times New Roman" w:hAnsi="Times New Roman" w:cs="Times New Roman"/>
          <w:sz w:val="24"/>
          <w:szCs w:val="24"/>
        </w:rPr>
      </w:pPr>
    </w:p>
    <w:p w14:paraId="1D196CDE" w14:textId="737247FA" w:rsidR="00F173BA" w:rsidRPr="003A2469" w:rsidRDefault="00F173BA" w:rsidP="003A2469">
      <w:pPr>
        <w:jc w:val="both"/>
        <w:rPr>
          <w:rFonts w:ascii="Times New Roman" w:hAnsi="Times New Roman" w:cs="Times New Roman"/>
          <w:sz w:val="24"/>
          <w:szCs w:val="24"/>
        </w:rPr>
      </w:pPr>
    </w:p>
    <w:p w14:paraId="02403F08" w14:textId="75BEB719" w:rsidR="00F173BA" w:rsidRPr="003A2469" w:rsidRDefault="00F173BA" w:rsidP="002570B0"/>
    <w:p w14:paraId="308325D5" w14:textId="324F2E94" w:rsidR="00F173BA" w:rsidRPr="003A2469" w:rsidRDefault="00F173BA" w:rsidP="002570B0"/>
    <w:p w14:paraId="22BAA135" w14:textId="6CC745FE" w:rsidR="00F173BA" w:rsidRPr="003A2469" w:rsidRDefault="00F173BA" w:rsidP="002570B0"/>
    <w:p w14:paraId="33D51603" w14:textId="10BA4AEF" w:rsidR="00F173BA" w:rsidRPr="003A2469" w:rsidRDefault="00F173BA" w:rsidP="002570B0"/>
    <w:p w14:paraId="55D95E22" w14:textId="0EFD17BF" w:rsidR="00F173BA" w:rsidRPr="003A2469" w:rsidRDefault="00F173BA" w:rsidP="002570B0"/>
    <w:p w14:paraId="1E84A240" w14:textId="61513D00" w:rsidR="00F173BA" w:rsidRPr="003A2469" w:rsidRDefault="00F173BA" w:rsidP="002570B0"/>
    <w:p w14:paraId="049E1B58" w14:textId="408BB97D" w:rsidR="00F173BA" w:rsidRPr="003A2469" w:rsidRDefault="00F173BA" w:rsidP="002570B0"/>
    <w:p w14:paraId="3F19C72F" w14:textId="49CAEBA5" w:rsidR="00F173BA" w:rsidRPr="003A2469" w:rsidRDefault="00F173BA" w:rsidP="00F173BA">
      <w:pPr>
        <w:tabs>
          <w:tab w:val="left" w:pos="6948"/>
        </w:tabs>
      </w:pPr>
      <w:r w:rsidRPr="003A2469">
        <w:lastRenderedPageBreak/>
        <w:tab/>
      </w:r>
    </w:p>
    <w:sectPr w:rsidR="00F173BA" w:rsidRPr="003A2469"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A17ED" w14:textId="77777777" w:rsidR="0068466B" w:rsidRDefault="0068466B" w:rsidP="00702393">
      <w:pPr>
        <w:spacing w:after="0" w:line="240" w:lineRule="auto"/>
      </w:pPr>
      <w:r>
        <w:separator/>
      </w:r>
    </w:p>
  </w:endnote>
  <w:endnote w:type="continuationSeparator" w:id="0">
    <w:p w14:paraId="02EA0A82" w14:textId="77777777" w:rsidR="0068466B" w:rsidRDefault="0068466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F7AE0" w14:textId="77777777" w:rsidR="0068466B" w:rsidRDefault="0068466B" w:rsidP="00702393">
      <w:pPr>
        <w:spacing w:after="0" w:line="240" w:lineRule="auto"/>
      </w:pPr>
      <w:r>
        <w:separator/>
      </w:r>
    </w:p>
  </w:footnote>
  <w:footnote w:type="continuationSeparator" w:id="0">
    <w:p w14:paraId="1CEF6D04" w14:textId="77777777" w:rsidR="0068466B" w:rsidRDefault="0068466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0445B3F1" w:rsidR="00702393" w:rsidRPr="00017580" w:rsidRDefault="002A1A72" w:rsidP="00193E1B">
    <w:pPr>
      <w:pStyle w:val="a4"/>
      <w:jc w:val="both"/>
    </w:pPr>
    <w:r>
      <w:rPr>
        <w:noProof/>
        <w:lang w:eastAsia="ru-RU"/>
      </w:rPr>
      <w:drawing>
        <wp:anchor distT="0" distB="0" distL="114300" distR="114300" simplePos="0" relativeHeight="251660288" behindDoc="1" locked="0" layoutInCell="1" allowOverlap="1" wp14:anchorId="0720D792" wp14:editId="699C2DF3">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4CD40BCC" wp14:editId="4A7D138B">
          <wp:simplePos x="0" y="0"/>
          <wp:positionH relativeFrom="margin">
            <wp:posOffset>4886325</wp:posOffset>
          </wp:positionH>
          <wp:positionV relativeFrom="paragraph">
            <wp:posOffset>564515</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2300A">
      <w:rPr>
        <w:noProof/>
        <w:lang w:eastAsia="ru-RU"/>
      </w:rPr>
      <w:drawing>
        <wp:inline distT="0" distB="0" distL="0" distR="0" wp14:anchorId="0114DAA7" wp14:editId="1814F1B1">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152128"/>
    <w:rsid w:val="001539CF"/>
    <w:rsid w:val="00193E1B"/>
    <w:rsid w:val="001C5801"/>
    <w:rsid w:val="002570B0"/>
    <w:rsid w:val="002A1A72"/>
    <w:rsid w:val="002B659E"/>
    <w:rsid w:val="00327D34"/>
    <w:rsid w:val="00327E86"/>
    <w:rsid w:val="00396063"/>
    <w:rsid w:val="003A2469"/>
    <w:rsid w:val="003C77EA"/>
    <w:rsid w:val="003E3623"/>
    <w:rsid w:val="00442855"/>
    <w:rsid w:val="0052300A"/>
    <w:rsid w:val="00662927"/>
    <w:rsid w:val="0068466B"/>
    <w:rsid w:val="006B0A4D"/>
    <w:rsid w:val="006E2D0A"/>
    <w:rsid w:val="00702393"/>
    <w:rsid w:val="00722D19"/>
    <w:rsid w:val="008A7236"/>
    <w:rsid w:val="008E7DF6"/>
    <w:rsid w:val="0091354D"/>
    <w:rsid w:val="0094655E"/>
    <w:rsid w:val="009E6904"/>
    <w:rsid w:val="00A23573"/>
    <w:rsid w:val="00A45B15"/>
    <w:rsid w:val="00B31BDB"/>
    <w:rsid w:val="00BD7730"/>
    <w:rsid w:val="00C16D9C"/>
    <w:rsid w:val="00CB275A"/>
    <w:rsid w:val="00CF5BD5"/>
    <w:rsid w:val="00D02DFB"/>
    <w:rsid w:val="00D07E03"/>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946B71"/>
  <w15:docId w15:val="{4CBE166C-2EBA-466C-B451-B167B0D82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3A24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A2469"/>
    <w:rPr>
      <w:rFonts w:ascii="Tahoma" w:hAnsi="Tahoma" w:cs="Tahoma"/>
      <w:sz w:val="16"/>
      <w:szCs w:val="16"/>
    </w:rPr>
  </w:style>
  <w:style w:type="character" w:styleId="aa">
    <w:name w:val="Hyperlink"/>
    <w:basedOn w:val="a0"/>
    <w:uiPriority w:val="99"/>
    <w:unhideWhenUsed/>
    <w:rsid w:val="00D07E0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3" Type="http://schemas.openxmlformats.org/officeDocument/2006/relationships/webSettings" Target="webSettings.xml"/><Relationship Id="rId7" Type="http://schemas.openxmlformats.org/officeDocument/2006/relationships/hyperlink" Target="https://zakonpravo.kz/publikaci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753</Words>
  <Characters>4296</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28</cp:revision>
  <cp:lastPrinted>2021-08-17T09:04:00Z</cp:lastPrinted>
  <dcterms:created xsi:type="dcterms:W3CDTF">2021-08-13T09:00:00Z</dcterms:created>
  <dcterms:modified xsi:type="dcterms:W3CDTF">2021-09-07T13:29:00Z</dcterms:modified>
</cp:coreProperties>
</file>