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№ 2- 1954/15 </w:t>
      </w:r>
    </w:p>
    <w:p w:rsidR="00D90A07" w:rsidRDefault="00D90A07" w:rsidP="00D90A07">
      <w:pPr>
        <w:ind w:right="1692"/>
        <w:jc w:val="center"/>
        <w:rPr>
          <w:rFonts w:ascii="Arial" w:hAnsi="Arial"/>
        </w:rPr>
      </w:pPr>
    </w:p>
    <w:p w:rsidR="00D90A07" w:rsidRDefault="00D90A07" w:rsidP="00D90A07">
      <w:pPr>
        <w:tabs>
          <w:tab w:val="center" w:pos="3831"/>
          <w:tab w:val="left" w:pos="5660"/>
        </w:tabs>
        <w:ind w:right="1692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</w:t>
      </w:r>
      <w:r>
        <w:rPr>
          <w:rFonts w:ascii="Arial" w:hAnsi="Arial"/>
          <w:noProof/>
        </w:rPr>
        <w:drawing>
          <wp:inline distT="0" distB="0" distL="0" distR="0" wp14:anchorId="4C84C711" wp14:editId="1CD5B656">
            <wp:extent cx="106680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tab/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РЕШЕНИЕ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ИМЕНЕМ РЕСПУБЛИКИ КАЗАХСТАН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>18.05.2015 года                                                                                     гор.Алматы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Бостандыкский районный суд г.Алматы в составе: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председательствующего судьи Черныш Т.В.,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Ошлаковой Р.,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прокурора Беккаирова А.,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>истца Бажанова Ю.В.,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 истца Бажанова Ю.В.- Тазабековой Ж.С., доверенность от 18.07.2014 года реестр № 2331, Зарипова М.К. доверенность от 14.05.2014 года реестр № 1466, ордер № 000345 от 02.04.2015 года,,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 ответчика Управления государственных доходов по Бостандыкскому району г.Алматы – Чужебаевой Б.Т., доверенность от 05.01.2015 года за № 883,Сулейменова К.А. доверенность от 05.01.2015 года,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Бостандыкского районного суда г.Алматы гражданское дело по иску Бажанова Юрия Васильевича к Управлению государственных доходов по Бостандыкскому району г.Алматы о взыскании переплаченных налогов на транспортные средства и недвижимое имущество, неустойки и возмещении морального вреда, 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УСТАНОВИЛ :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Бажанов Ю.В. обратился в суд с иском к</w:t>
      </w:r>
      <w:r w:rsidRPr="00F36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государственных доходов по Бостандыкскому району г.Алматы в котором просил суд :устранить нарушение налогового законодательств ст.20 п.1, подпункт 9,подпункт 15 и 20 , статья 368 пункт 1, пункт 2, подпункт 1, статья 405 ,статья 599 пункт 2, статья 602 пункт 1, пункт 2 Налогового кодекса РК; взыскать с ответчика в его пользу переплаченный налог на транспортные средства за автомашину Мерседес в сумме 17 022 тенге , переплаченный налог на имущество в сумме 1301 тенге ;взыскать нанесенный моральный вред в размере 200 000 тенге, мотивируя свое требование тем, что ответчик без каких-либо законных на оснований не возвращает ему переплаченные суммы налогов по автомашине и незаконно заставил его оплатить налог на гараж, хотя тот и не является недвижимым имуществом. В ходе подготовки дела к слушанию истец дополнил свои исковые требования и просил суд взыскать с ответчика переплаченный налог за автомашину Москвич за 2014 год в сумме 772 тенге, т.к. с него необоснованно взяли налоги за шесть лет, тогда как срок исковой давности составляет пять лет. Затем снова дополнил </w:t>
      </w:r>
      <w:r>
        <w:rPr>
          <w:sz w:val="28"/>
          <w:szCs w:val="28"/>
        </w:rPr>
        <w:lastRenderedPageBreak/>
        <w:t>свои исковые требования и просил суд взыскать с ответчика неустойку в сумме 276 181,36 тенге в соответствии с требованиями ст.602 п.1 Налогового Кодекса. В ходе рассмотрения дела истец дополнил свои исковые требования и просил суд применить срок исковой давности по оплате налогов на транспортное средство марки Москвич 21, 1982 года выпуска, госномер А1838 АТ, двигатель 3633219, кузов 1182161, серия АТ № 066154, свидетельство о государственной регистрации ТС выдано 28.09.1982 года принадлежавшего Бажанову за период с 2009 года по 2014 год включительно; обязать ответчика возвратить уплаченные налоги в размере 9 399 тенге и пеню в сумме 2 597,06 тенге в соответствии с требованиями ст. 46 Налогового Кодекса  РК, т.к. ранее ему выдавали справки об отсутствии задолженности по уплате налогов. В последующем сторона истца вновь уточнила и дополнила свои исковые требования и просила суд: взыскать с ответчика в пользу истца : переплаченный налог на транспортные средства  за автомашину  марки</w:t>
      </w:r>
      <w:r w:rsidRPr="00521C1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Mersedes</w:t>
      </w:r>
      <w:r w:rsidRPr="00521C1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Benz</w:t>
      </w:r>
      <w:r>
        <w:rPr>
          <w:sz w:val="28"/>
          <w:szCs w:val="28"/>
        </w:rPr>
        <w:t xml:space="preserve"> 320 2002 года выпуска, госномер А059 НСО в сумме 17 022 тенге; переплаченный налог  на имущество в сумме 1 301 тенге; неустойку в сумме 276 181,36 тенге; нанесенный моральный вред в сумме 200 000 тенге; переплаченный налог на шестой год на транспортное средство марки Москвич 21 , 1982 года выпуска, госномер А1838 АТ, двигатель 3633219, кузов 1182161, серии АТ №066154, свидетельство о государственной регистрации ТС выдано от 28.09.1982 года за 2014 год в сумме 772 тенге. Определением от 18.05.2015 года исковое заявление в части :применения срока исковой давности по оплате налогов на транспортное средство марки Москвич 21, 1982 года выпуска, госномер А1838 АТ, двигатель 3633219, кузов 1182161, серия АТ № 066154, свидетельство о государственной регистрации ТС выдано 28.09.1982 года принадлежавшего Бажанову за период с 2009 года по 2014 год включительно; возложении обязанности на ответчика возвратить уплаченные налоги в размере 9 399 тенге и пеню в сумме 2 597,06 тенге; взыскании переплаченный налог на шестой год на транспортное средство марки Москвич 21 , 1982 года выпуска, госномер А1838 АТ, двигатель 3633219, кузов 1182161, серии АТ №066154, свидетельство о государственной регистрации ТС выдано от 28.09.1982 года за 2014 год в сумме 772 тенге – оставлено без рассмотрения.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судебном заседании истец поддержал заявленные исковые требования с учетом внесенных в них изменений и дополнений и пояснил, что является инвалидом и согласно пп5 п.3 ст. 365 Налогового Кодекса РК освобожден от уплаты налогов на одно транспортное средство. В начале 2014 года за ним одновременно числилось три единицы транспортных средств : Тойота, Мерседес и Москвич, который в 1995 году был утилизирован. За Тойоту как за одно транспортное средство он налог не оплачивал, за Москвич его заставили заплатить налог за шесть лет, он его оплатил и машину сняли с учета, т.е. им излишне был оплачен налог за один год. 25.06.2014 года он продал автомашину Тойота и с этого момента за ним числилось только одно транспортное средство Мерседес, следовательно с этого момента он не </w:t>
      </w:r>
      <w:r>
        <w:rPr>
          <w:sz w:val="28"/>
          <w:szCs w:val="28"/>
        </w:rPr>
        <w:lastRenderedPageBreak/>
        <w:t>является плательщиком налога на транспорт. Налог на Мерседес за 2014 год был им оплачен в полном объеме в сумме 29180 тенге, поэтому он обратился в налоговый орган с просьбой  возвратить ему излишне оплаченный налог на транспортное средство с учетом положений ст. 368 НК РК, однако ему было отказано в этом без каких-либо законных на то оснований и не произвели возврат излишне оплаченных денежных средств, что влечет за собой начисление пени. Кроме того его заставили оплатить налог на имущество в виде гаража за 2010,2011,2012 и 2013 годы , хотя гараж не является недвижимым имуществом, т.к. он изготовлен из металла и не имеет фундамента, не утеплен и является строением временного типа, более того не принадлежит ему на праве частной собственности. В связи с чем просил суд взыскать с ответчика суммы переплаченных налогов,, неустойки за не своевременный возврат излишен оплаченных налогов, а так же возместить моральный вред причиненный незаконными действиями ответчика.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Представители истца в судебном заседании поддержали заявленные исковые требования и просили суд удовлетворить их в полном объеме по основаниям изложенным в исковым заявлении и дополнении к нему.</w:t>
      </w:r>
    </w:p>
    <w:p w:rsidR="00D90A07" w:rsidRPr="00EB7405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Представитель ответчика Управления государственных доходов по Бостандыкскому району г.Алматы – Чужебаева Б.Т., в судебном заседании исковые требования не признала и пояснила, что за истцом по данным Специализированного ЦОН ОАП ДВД г.Алматы по состоянию на 2014 год числилось три автомашины, на автотранспортное средство </w:t>
      </w:r>
      <w:r>
        <w:rPr>
          <w:sz w:val="28"/>
          <w:szCs w:val="28"/>
          <w:lang w:val="en-US"/>
        </w:rPr>
        <w:t>Toyota</w:t>
      </w:r>
      <w:r w:rsidRPr="006216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Land</w:t>
      </w:r>
      <w:r w:rsidRPr="006216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Cruizer</w:t>
      </w:r>
      <w:r w:rsidRPr="0062160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21605">
        <w:rPr>
          <w:sz w:val="28"/>
          <w:szCs w:val="28"/>
        </w:rPr>
        <w:t xml:space="preserve">673 </w:t>
      </w:r>
      <w:r>
        <w:rPr>
          <w:sz w:val="28"/>
          <w:szCs w:val="28"/>
          <w:lang w:val="en-US"/>
        </w:rPr>
        <w:t>YSM</w:t>
      </w:r>
      <w:r>
        <w:rPr>
          <w:sz w:val="28"/>
          <w:szCs w:val="28"/>
        </w:rPr>
        <w:t xml:space="preserve"> ежегодно применялась льгота –освобождение от уплаты налога, поскольку истец являлся инвалидом 2 группы. За автомашину </w:t>
      </w:r>
      <w:r>
        <w:rPr>
          <w:sz w:val="28"/>
          <w:szCs w:val="28"/>
          <w:lang w:val="en-US"/>
        </w:rPr>
        <w:t>Mercedes</w:t>
      </w:r>
      <w:r w:rsidRPr="00EB74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Benz</w:t>
      </w:r>
      <w:r w:rsidRPr="00EB7405">
        <w:rPr>
          <w:sz w:val="28"/>
          <w:szCs w:val="28"/>
        </w:rPr>
        <w:t xml:space="preserve"> 320 </w:t>
      </w:r>
      <w:r>
        <w:rPr>
          <w:sz w:val="28"/>
          <w:szCs w:val="28"/>
        </w:rPr>
        <w:t xml:space="preserve">госномер А059НСО, ежегодно производилась уплата налогов с момента регистрации по сегодняшний день и за 2014 год уплата произведена полностью на сумму 29 180 тенге, излишне уплаченной суммы не лицевом счете не имелось. В связи с чем оснований для освобождения от уплаты налога на второе транспортное средство не представляется возможным согласно пп.5 п.3 ст. 365 НК РК. Согласно ст. 46 п.2 НК РК , срок исковой давности по налоговому обязательству и требованию составляет пять лет. Течение срока исковой давности начинается после окончания соответствующего налогового периода, з исключением случаев, предусмотренных настоящей статьей в связи с чем оснований для возврата налогов оплаченных на автомашину Москвич не имеется. Обоснованно по ее мнение был начислен налог и на недвижимое имущество- гараж, поскольку согласно данных предоставленных Департаментом юстиции он зарегистрирован за истцом на праве собственности, а потому подлежит налогообложению в силу требований ст. 477 НК РК. Никаких противоправных действий ответчик в отношении истца не совершал, а потому снований для возмещения ему морального вреда не имеется. В связи с чем просила суд в удовлетворении иска отказать. 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Представитель ответчика</w:t>
      </w:r>
      <w:r w:rsidRPr="009C7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государственных доходов по Бостандыкскому району г.Алматы  -Сулейменов К.А. в судебном заседании 15.05.2015 года исковые требования не признал и просил суд в </w:t>
      </w:r>
      <w:r>
        <w:rPr>
          <w:sz w:val="28"/>
          <w:szCs w:val="28"/>
        </w:rPr>
        <w:lastRenderedPageBreak/>
        <w:t>удовлетворении иска отказать по основаниям изложенным в отзыве на исковое заявление и дополнении к нему.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Заслушав объяснения сторон, исследовав материалы дела, заслушав заключение прокурора полагавшего, что в удовлетворении иска надлежит отказать, суд приходит к выводу, что заявленные истцом исковые требования удовлетворению не подлежат по следующим основаниям.</w:t>
      </w:r>
    </w:p>
    <w:p w:rsidR="00D90A07" w:rsidRDefault="00D90A07" w:rsidP="00D90A07">
      <w:pPr>
        <w:ind w:firstLine="400"/>
        <w:jc w:val="both"/>
        <w:rPr>
          <w:rStyle w:val="s0"/>
          <w:sz w:val="28"/>
          <w:szCs w:val="28"/>
        </w:rPr>
      </w:pPr>
      <w:r>
        <w:rPr>
          <w:sz w:val="28"/>
          <w:szCs w:val="28"/>
        </w:rPr>
        <w:t xml:space="preserve"> В соответствии с требованиям ст.ст.4,5,7,365,366, 368, 369,370, 405 Налогового Кодекса РК – налоговое законодательство основывается на принципах обязательности налогообложения- налогоплательщик обязан исполнять налоговые обязательства в соответствии с налоговым законодательством в полном объеме и в установленные сроки. Налогообложение в РК является всеобщим и обязательным и налоговое законодательство основывается на принципах налогообложения . К принципам налогообложения относятся принципы обязательности уплаты налогов и других обязательных платежей в бюджет, определенности, справедливости налогообложения, единства налоговой системы и гласности налогового законодательства. Нормы налогового законодательства должны толковаться и применяться в соответствии с буквальным значением их словестного выражения и его содержания. Плательщика налога на транспортные средства являются физические лица, имеющие объекты обложения на праве собственности. Объектами налогообложения являются транспортные средства подлежащие государственной регистрации и состоящие на учете в Республики Казахстан. Налогоплательщик исчисляет сумму налога за налоговый период самостоятельно исходя из объектов налогообложения, налоговой ставки по каждому транспортному средству. В случае неуплаты или неполной уплаты налога физическими лицами в срок, установленный настоящим законом , исчисление налога производиться налоговыми органами на основании сведений, предоставляемых уполномоченными органами, осуществляющими учет и регистрацию транспортных средств. Не является плательщиками налога на транспортные средства, инвалиды по имеющимся в собственности автомобилям – по одному автотранспортному средству, являющемуся объектом налогообложения. Налоговым периодом для исчисления и уплаты налога на транспортное средство является календарный год с 1 января по 31 декабря. </w:t>
      </w:r>
      <w:r w:rsidRPr="00B44469">
        <w:rPr>
          <w:rStyle w:val="s0"/>
          <w:sz w:val="28"/>
          <w:szCs w:val="28"/>
        </w:rPr>
        <w:t>Объектом обложения налогом на имущество физических лиц являются находящиеся на территории Республики Казахстан жилища, здания, дачные постройки, гаражи и иные строения, сооружения, помещения, принадлежащие им на праве собственности, а также объекты незавершенного строительства со дня проживания, эксплуатации (далее - с момента эксплуатации).</w:t>
      </w:r>
    </w:p>
    <w:p w:rsidR="00D90A07" w:rsidRDefault="00D90A07" w:rsidP="00D90A07">
      <w:pPr>
        <w:ind w:firstLine="400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 xml:space="preserve">Как установлено в судебном заседании за истцом в 2014 году одновременно числилось три единицы автотранспортных средств: </w:t>
      </w:r>
      <w:r>
        <w:rPr>
          <w:sz w:val="28"/>
          <w:szCs w:val="28"/>
          <w:lang w:val="en-US"/>
        </w:rPr>
        <w:t>Toyota</w:t>
      </w:r>
      <w:r w:rsidRPr="006216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Land</w:t>
      </w:r>
      <w:r w:rsidRPr="006216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Cruizer</w:t>
      </w:r>
      <w:r w:rsidRPr="0062160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21605">
        <w:rPr>
          <w:sz w:val="28"/>
          <w:szCs w:val="28"/>
        </w:rPr>
        <w:t xml:space="preserve">673 </w:t>
      </w:r>
      <w:r>
        <w:rPr>
          <w:sz w:val="28"/>
          <w:szCs w:val="28"/>
          <w:lang w:val="en-US"/>
        </w:rPr>
        <w:t>YSM</w:t>
      </w:r>
      <w:r>
        <w:rPr>
          <w:sz w:val="28"/>
          <w:szCs w:val="28"/>
        </w:rPr>
        <w:t xml:space="preserve"> (снята с учета 25.06.2014 года ), </w:t>
      </w:r>
      <w:r>
        <w:rPr>
          <w:sz w:val="28"/>
          <w:szCs w:val="28"/>
          <w:lang w:val="en-US"/>
        </w:rPr>
        <w:t>Mercedes</w:t>
      </w:r>
      <w:r w:rsidRPr="00EB74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Benz</w:t>
      </w:r>
      <w:r w:rsidRPr="00EB7405">
        <w:rPr>
          <w:sz w:val="28"/>
          <w:szCs w:val="28"/>
        </w:rPr>
        <w:t xml:space="preserve"> 320 </w:t>
      </w:r>
      <w:r>
        <w:rPr>
          <w:sz w:val="28"/>
          <w:szCs w:val="28"/>
        </w:rPr>
        <w:t xml:space="preserve">госномер А059НСО и Москвич 21, 1982 года выпуска, госномер А1838 АТ(снят с учета 23.05.2014 года). В 2014 году , согласно требований п.3 </w:t>
      </w:r>
      <w:r>
        <w:rPr>
          <w:sz w:val="28"/>
          <w:szCs w:val="28"/>
        </w:rPr>
        <w:lastRenderedPageBreak/>
        <w:t xml:space="preserve">ст.365 НК РК истец самостоятельно определил, что освобожден от уплаты налога на автомашину </w:t>
      </w:r>
      <w:r>
        <w:rPr>
          <w:sz w:val="28"/>
          <w:szCs w:val="28"/>
          <w:lang w:val="en-US"/>
        </w:rPr>
        <w:t>Toyota</w:t>
      </w:r>
      <w:r w:rsidRPr="006216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Land</w:t>
      </w:r>
      <w:r w:rsidRPr="006216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Cruizer</w:t>
      </w:r>
      <w:r w:rsidRPr="0062160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21605">
        <w:rPr>
          <w:sz w:val="28"/>
          <w:szCs w:val="28"/>
        </w:rPr>
        <w:t xml:space="preserve">673 </w:t>
      </w:r>
      <w:r>
        <w:rPr>
          <w:sz w:val="28"/>
          <w:szCs w:val="28"/>
          <w:lang w:val="en-US"/>
        </w:rPr>
        <w:t>YSM</w:t>
      </w:r>
      <w:r>
        <w:rPr>
          <w:sz w:val="28"/>
          <w:szCs w:val="28"/>
        </w:rPr>
        <w:t xml:space="preserve"> и исчислил и оплатил налог на автомашину </w:t>
      </w:r>
      <w:r>
        <w:rPr>
          <w:sz w:val="28"/>
          <w:szCs w:val="28"/>
          <w:lang w:val="en-US"/>
        </w:rPr>
        <w:t>Mercedes</w:t>
      </w:r>
      <w:r w:rsidRPr="00EB74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Benz</w:t>
      </w:r>
      <w:r w:rsidRPr="00EB7405">
        <w:rPr>
          <w:sz w:val="28"/>
          <w:szCs w:val="28"/>
        </w:rPr>
        <w:t xml:space="preserve"> 320 </w:t>
      </w:r>
      <w:r>
        <w:rPr>
          <w:sz w:val="28"/>
          <w:szCs w:val="28"/>
        </w:rPr>
        <w:t xml:space="preserve">госномер А059НСО за весь налоговый период. Согласно положений ст. 368 НК РК не предусмотрен перерасчет  оплаченного налога на транспортное средство находящееся в собственности полный налоговый период, в связи с чем ответчик правомерно отказал истцу в перерасчете налога на автомашину </w:t>
      </w:r>
      <w:r>
        <w:rPr>
          <w:sz w:val="28"/>
          <w:szCs w:val="28"/>
          <w:lang w:val="en-US"/>
        </w:rPr>
        <w:t>Mercedes</w:t>
      </w:r>
      <w:r w:rsidRPr="00EB74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Benz</w:t>
      </w:r>
      <w:r w:rsidRPr="00EB7405">
        <w:rPr>
          <w:sz w:val="28"/>
          <w:szCs w:val="28"/>
        </w:rPr>
        <w:t xml:space="preserve"> 320 </w:t>
      </w:r>
      <w:r>
        <w:rPr>
          <w:sz w:val="28"/>
          <w:szCs w:val="28"/>
        </w:rPr>
        <w:t>госномер А059НСО. При таких обстоятельствах требования истца о взыскании с ответчика  суммы переплаченного налога в размере 17 022 тенге за автомашину</w:t>
      </w:r>
      <w:r w:rsidRPr="006D05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Mercedes</w:t>
      </w:r>
      <w:r w:rsidRPr="00EB74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Benz</w:t>
      </w:r>
      <w:r w:rsidRPr="00EB7405">
        <w:rPr>
          <w:sz w:val="28"/>
          <w:szCs w:val="28"/>
        </w:rPr>
        <w:t xml:space="preserve"> 320 </w:t>
      </w:r>
      <w:r>
        <w:rPr>
          <w:sz w:val="28"/>
          <w:szCs w:val="28"/>
        </w:rPr>
        <w:t>госномер А059НСО, а так же неустойки в размере 276 181,36 тенге за несвоевременный возврат переплаченных сумм удовлетворению не подлежит.</w:t>
      </w:r>
    </w:p>
    <w:p w:rsidR="00D90A07" w:rsidRDefault="00D90A07" w:rsidP="00D90A07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>Не подлежит удовлетворению и требование истца о взыскании с ответчика в его пользу переплаченного налога на имущество в виде гаража в сумме 1 301 тенге, поскольку из представленных стороной ответчика данных полученных из Департамента юстиции г.Алматы, названная недвижимость зарегистрирована за истцом на праве собственности , что в силу положений  ст. 405 НК РК является основанием для уплаты налога на недвижимое имущество.</w:t>
      </w:r>
    </w:p>
    <w:p w:rsidR="00D90A07" w:rsidRPr="00F820E5" w:rsidRDefault="00D90A07" w:rsidP="00D90A07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>Поскольку в судебном заседании не было установлено совершения ответчиком каких-либо правонарушений в отношении истца , оснований для возмещения истцу морального вреда  по основаниям предусмотренным ст.951 ГК РК не имеется, а потому и в этой части исковых требований надлежит отказать.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изложенного и руководствуясь требованиями ст.ст.217-221  ГПК РК, суд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РЕШИЛ :</w:t>
      </w:r>
    </w:p>
    <w:p w:rsidR="00D90A07" w:rsidRDefault="00D90A07" w:rsidP="00D90A07">
      <w:pPr>
        <w:jc w:val="both"/>
        <w:rPr>
          <w:sz w:val="28"/>
        </w:rPr>
      </w:pPr>
      <w:r>
        <w:rPr>
          <w:sz w:val="28"/>
          <w:szCs w:val="28"/>
        </w:rPr>
        <w:t xml:space="preserve">     В удовлетворении исковых требований Бажанова Юрия Васильевича к Управлению государственных доходов по Бостандыкскому району г.Алматы о взыскании переплаченных налогов на транспортные средства и недвижимое имущество, неустойки и возмещении морального вреда- отказать в полном объеме. </w:t>
      </w:r>
    </w:p>
    <w:p w:rsidR="00D90A07" w:rsidRDefault="00D90A07" w:rsidP="00D9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42A8">
        <w:rPr>
          <w:sz w:val="28"/>
          <w:szCs w:val="28"/>
        </w:rPr>
        <w:t xml:space="preserve">Решение может быть обжаловано и опротестовано </w:t>
      </w:r>
      <w:r>
        <w:rPr>
          <w:sz w:val="28"/>
          <w:szCs w:val="28"/>
        </w:rPr>
        <w:t xml:space="preserve">с соблюдением требований статей 334,335 Гражданского процессуального кодекса Республики Казахстан в апелляционную судебную коллегию города Алматы </w:t>
      </w:r>
      <w:r w:rsidRPr="00B742A8">
        <w:rPr>
          <w:sz w:val="28"/>
          <w:szCs w:val="28"/>
        </w:rPr>
        <w:t xml:space="preserve">через Бостандыкский районный суд г.Алматы </w:t>
      </w:r>
      <w:r>
        <w:rPr>
          <w:sz w:val="28"/>
          <w:szCs w:val="28"/>
        </w:rPr>
        <w:t>в течении пятнадцати дней со дня получения копии решения суда .</w:t>
      </w:r>
    </w:p>
    <w:p w:rsidR="00D90A07" w:rsidRPr="00B742A8" w:rsidRDefault="00D90A07" w:rsidP="00D90A07">
      <w:pPr>
        <w:jc w:val="both"/>
        <w:rPr>
          <w:sz w:val="28"/>
          <w:szCs w:val="28"/>
        </w:rPr>
      </w:pPr>
      <w:r w:rsidRPr="00B742A8">
        <w:rPr>
          <w:sz w:val="28"/>
          <w:szCs w:val="28"/>
        </w:rPr>
        <w:t xml:space="preserve">                             Судья-                                              Т.В.Черныш</w:t>
      </w:r>
    </w:p>
    <w:p w:rsidR="00D90A07" w:rsidRPr="00B742A8" w:rsidRDefault="00D90A07" w:rsidP="00D90A07">
      <w:pPr>
        <w:jc w:val="both"/>
        <w:rPr>
          <w:sz w:val="28"/>
          <w:szCs w:val="28"/>
        </w:rPr>
      </w:pPr>
      <w:r w:rsidRPr="00B742A8">
        <w:rPr>
          <w:sz w:val="28"/>
          <w:szCs w:val="28"/>
        </w:rPr>
        <w:t xml:space="preserve">     </w:t>
      </w:r>
      <w:r>
        <w:rPr>
          <w:sz w:val="28"/>
          <w:szCs w:val="28"/>
        </w:rPr>
        <w:t>Копия верна,</w:t>
      </w:r>
    </w:p>
    <w:p w:rsidR="00D90A07" w:rsidRDefault="00D90A07" w:rsidP="00D90A07">
      <w:pPr>
        <w:jc w:val="both"/>
      </w:pPr>
      <w:r w:rsidRPr="00B742A8">
        <w:rPr>
          <w:sz w:val="28"/>
          <w:szCs w:val="28"/>
        </w:rPr>
        <w:t xml:space="preserve">                              Судья-                                             Т.В.Черныш</w:t>
      </w:r>
    </w:p>
    <w:p w:rsidR="008F3FED" w:rsidRDefault="008F3FED">
      <w:bookmarkStart w:id="0" w:name="_GoBack"/>
      <w:bookmarkEnd w:id="0"/>
    </w:p>
    <w:sectPr w:rsidR="008F3F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94" w:rsidRDefault="00D90A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94" w:rsidRDefault="00D90A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94" w:rsidRDefault="00D90A07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94" w:rsidRDefault="00D90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94" w:rsidRDefault="00D90A0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FFBA2" wp14:editId="56355F59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3E94" w:rsidRPr="00313E94" w:rsidRDefault="00D90A07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подписал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Черныш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Т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Бост</w:t>
                          </w: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андыкский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районный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суд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hint="eastAsia"/>
                              <w:sz w:val="16"/>
                            </w:rPr>
                            <w:t>Судья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21.05.2015 08:59:02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" filled="f" stroked="f" strokeweight=".5pt">
              <v:textbox style="layout-flow:vertical;mso-layout-flow-alt:bottom-to-top">
                <w:txbxContent>
                  <w:p w:rsidR="00313E94" w:rsidRPr="00313E94" w:rsidRDefault="00D90A07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 w:hint="eastAsia"/>
                        <w:sz w:val="16"/>
                      </w:rPr>
                      <w:t>Документ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hint="eastAsia"/>
                        <w:sz w:val="16"/>
                      </w:rPr>
                      <w:t>подписал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: </w:t>
                    </w:r>
                    <w:r>
                      <w:rPr>
                        <w:rFonts w:ascii="Arial Narrow" w:hAnsi="Arial Narrow" w:hint="eastAsia"/>
                        <w:sz w:val="16"/>
                      </w:rPr>
                      <w:t>Черныш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hint="eastAsia"/>
                        <w:sz w:val="16"/>
                      </w:rPr>
                      <w:t>Т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. </w:t>
                    </w:r>
                    <w:r>
                      <w:rPr>
                        <w:rFonts w:ascii="Arial Narrow" w:hAnsi="Arial Narrow" w:hint="eastAsia"/>
                        <w:sz w:val="16"/>
                      </w:rPr>
                      <w:t>В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. </w:t>
                    </w:r>
                    <w:r>
                      <w:rPr>
                        <w:rFonts w:ascii="Arial Narrow" w:hAnsi="Arial Narrow" w:hint="eastAsia"/>
                        <w:sz w:val="16"/>
                      </w:rPr>
                      <w:t>Бост</w:t>
                    </w:r>
                    <w:r>
                      <w:rPr>
                        <w:rFonts w:ascii="Arial Narrow" w:hAnsi="Arial Narrow" w:hint="eastAsia"/>
                        <w:sz w:val="16"/>
                      </w:rPr>
                      <w:t>андыкский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hint="eastAsia"/>
                        <w:sz w:val="16"/>
                      </w:rPr>
                      <w:t>районный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hint="eastAsia"/>
                        <w:sz w:val="16"/>
                      </w:rPr>
                      <w:t>суд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hint="eastAsia"/>
                        <w:sz w:val="16"/>
                      </w:rPr>
                      <w:t>Судья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21.05.2015 08:59:02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139826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94" w:rsidRDefault="00D90A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A9"/>
    <w:rsid w:val="001057A9"/>
    <w:rsid w:val="008F3FED"/>
    <w:rsid w:val="00D9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D90A0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D90A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0A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0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0A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A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D90A0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D90A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0A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0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0A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A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2078</Words>
  <Characters>11851</Characters>
  <Application>Microsoft Office Word</Application>
  <DocSecurity>0</DocSecurity>
  <Lines>98</Lines>
  <Paragraphs>27</Paragraphs>
  <ScaleCrop>false</ScaleCrop>
  <Company>Grizli777</Company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2016-02-16T08:57:00Z</dcterms:created>
  <dcterms:modified xsi:type="dcterms:W3CDTF">2016-02-16T08:57:00Z</dcterms:modified>
</cp:coreProperties>
</file>