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536DA4B5" w:rsidR="00A81D5F" w:rsidRPr="00C2610E" w:rsidRDefault="004D429A" w:rsidP="00C2610E">
      <w:pPr>
        <w:jc w:val="center"/>
        <w:rPr>
          <w:rFonts w:ascii="Times New Roman" w:hAnsi="Times New Roman" w:cs="Times New Roman"/>
          <w:b/>
          <w:bCs/>
          <w:sz w:val="24"/>
          <w:szCs w:val="24"/>
        </w:rPr>
      </w:pPr>
      <w:r w:rsidRPr="00C2610E">
        <w:rPr>
          <w:rFonts w:ascii="Times New Roman" w:hAnsi="Times New Roman" w:cs="Times New Roman"/>
          <w:b/>
          <w:bCs/>
          <w:sz w:val="24"/>
          <w:szCs w:val="24"/>
        </w:rPr>
        <w:t>Жилищные споры изменение помещения, функционального назначения, полной или частичной заменой внутренней системы технологического и (или) инженерного оборудования, необходимого для жизнеобеспечения и эксплуатации</w:t>
      </w:r>
    </w:p>
    <w:p w14:paraId="7EA7FA65" w14:textId="0D3DEF47" w:rsidR="00F173BA" w:rsidRPr="00C2610E" w:rsidRDefault="00F173BA" w:rsidP="00C2610E">
      <w:pPr>
        <w:jc w:val="both"/>
        <w:rPr>
          <w:rFonts w:ascii="Times New Roman" w:hAnsi="Times New Roman" w:cs="Times New Roman"/>
          <w:sz w:val="24"/>
          <w:szCs w:val="24"/>
        </w:rPr>
      </w:pPr>
    </w:p>
    <w:p w14:paraId="3EAB8410" w14:textId="61A02D8F" w:rsidR="00C2610E" w:rsidRDefault="00A20841" w:rsidP="00C2610E">
      <w:pPr>
        <w:ind w:firstLine="720"/>
        <w:jc w:val="both"/>
        <w:rPr>
          <w:rFonts w:ascii="Times New Roman" w:hAnsi="Times New Roman" w:cs="Times New Roman"/>
          <w:sz w:val="24"/>
          <w:szCs w:val="24"/>
        </w:rPr>
      </w:pPr>
      <w:r w:rsidRPr="00C2610E">
        <w:rPr>
          <w:rFonts w:ascii="Times New Roman" w:hAnsi="Times New Roman" w:cs="Times New Roman"/>
          <w:sz w:val="24"/>
          <w:szCs w:val="24"/>
        </w:rPr>
        <w:t xml:space="preserve">Г. обратилась в суд с иском к </w:t>
      </w:r>
      <w:proofErr w:type="spellStart"/>
      <w:r w:rsidRPr="00C2610E">
        <w:rPr>
          <w:rFonts w:ascii="Times New Roman" w:hAnsi="Times New Roman" w:cs="Times New Roman"/>
          <w:sz w:val="24"/>
          <w:szCs w:val="24"/>
        </w:rPr>
        <w:t>К</w:t>
      </w:r>
      <w:proofErr w:type="spellEnd"/>
      <w:r w:rsidRPr="00C2610E">
        <w:rPr>
          <w:rFonts w:ascii="Times New Roman" w:hAnsi="Times New Roman" w:cs="Times New Roman"/>
          <w:sz w:val="24"/>
          <w:szCs w:val="24"/>
        </w:rPr>
        <w:t xml:space="preserve">. об </w:t>
      </w:r>
      <w:proofErr w:type="spellStart"/>
      <w:r w:rsidRPr="00C2610E">
        <w:rPr>
          <w:rFonts w:ascii="Times New Roman" w:hAnsi="Times New Roman" w:cs="Times New Roman"/>
          <w:sz w:val="24"/>
          <w:szCs w:val="24"/>
        </w:rPr>
        <w:t>обязании</w:t>
      </w:r>
      <w:proofErr w:type="spellEnd"/>
      <w:r w:rsidRPr="00C2610E">
        <w:rPr>
          <w:rFonts w:ascii="Times New Roman" w:hAnsi="Times New Roman" w:cs="Times New Roman"/>
          <w:sz w:val="24"/>
          <w:szCs w:val="24"/>
        </w:rPr>
        <w:t xml:space="preserve"> прекратить эксплуатацию квартиры как нежилого помещения и об устранении нарушений, вызванных перепланировкой квартиры, путем демонтажа дверных проемов вблизи со смежной стеной, мотивируя тем, что ответчик переоборудовал свою </w:t>
      </w:r>
      <w:hyperlink r:id="rId6" w:history="1">
        <w:r w:rsidRPr="006838BC">
          <w:rPr>
            <w:rStyle w:val="aa"/>
            <w:rFonts w:ascii="Times New Roman" w:hAnsi="Times New Roman" w:cs="Times New Roman"/>
            <w:sz w:val="24"/>
            <w:szCs w:val="24"/>
          </w:rPr>
          <w:t>квартиру в мини-гостиницу для почасового обслуживания</w:t>
        </w:r>
      </w:hyperlink>
      <w:r w:rsidRPr="00C2610E">
        <w:rPr>
          <w:rFonts w:ascii="Times New Roman" w:hAnsi="Times New Roman" w:cs="Times New Roman"/>
          <w:sz w:val="24"/>
          <w:szCs w:val="24"/>
        </w:rPr>
        <w:t xml:space="preserve"> посетителей и использует ее в коммерческих целях, в каждой комнате установил входную дверь наружу, увеличил количество сантехнических узлов. Данное заведение посещают разные люди для увеселительной цели, которые шумят, нарушают ее покой. </w:t>
      </w:r>
    </w:p>
    <w:p w14:paraId="044ADDCB" w14:textId="77777777" w:rsidR="00C2610E" w:rsidRDefault="00A20841" w:rsidP="00C2610E">
      <w:pPr>
        <w:ind w:firstLine="720"/>
        <w:jc w:val="both"/>
        <w:rPr>
          <w:rFonts w:ascii="Times New Roman" w:hAnsi="Times New Roman" w:cs="Times New Roman"/>
          <w:sz w:val="24"/>
          <w:szCs w:val="24"/>
        </w:rPr>
      </w:pPr>
      <w:r w:rsidRPr="00C2610E">
        <w:rPr>
          <w:rFonts w:ascii="Times New Roman" w:hAnsi="Times New Roman" w:cs="Times New Roman"/>
          <w:sz w:val="24"/>
          <w:szCs w:val="24"/>
        </w:rPr>
        <w:t xml:space="preserve">Дом старый, общая стена не имеет звукоизоляции. Из оконного проема рядом со смежной общей стеной ответчик сделал дверной проем. При использовании данной двери создается шум, что ухудшает условия ее проживания. Решением Абайского районного суда Карагандинской области от 30 июня 2020 года в удовлетворении иска отказано. Постановлением судебной коллегии по гражданским делам Карагандинского областного суда от 2 сентября 2020 года решение суда оставлено без изменения. Судебная коллегия по гражданским делам Верховного Суда отменила судебные акты местных судов и вынесла новое решение. </w:t>
      </w:r>
    </w:p>
    <w:p w14:paraId="313D9443" w14:textId="77777777" w:rsidR="00484D01" w:rsidRDefault="00A20841" w:rsidP="00C2610E">
      <w:pPr>
        <w:ind w:firstLine="720"/>
        <w:jc w:val="both"/>
        <w:rPr>
          <w:rFonts w:ascii="Times New Roman" w:hAnsi="Times New Roman" w:cs="Times New Roman"/>
          <w:sz w:val="24"/>
          <w:szCs w:val="24"/>
        </w:rPr>
      </w:pPr>
      <w:r w:rsidRPr="00C2610E">
        <w:rPr>
          <w:rFonts w:ascii="Times New Roman" w:hAnsi="Times New Roman" w:cs="Times New Roman"/>
          <w:sz w:val="24"/>
          <w:szCs w:val="24"/>
        </w:rPr>
        <w:t xml:space="preserve">Исковое заявление Г. удовлетворила, К. обязала прекратить эксплуатацию квартиры как нежилого помещения и устранить нарушения, вызванные перепланировкой квартиры, путем демонтажа дверных проемов вблизи со смежной стеной по следующим основаниям. - Из материалов дела следует, что Г. является собственником квартиры № 1, а К. собственником квартиры № 2 в доме № 6 в переулке Угольном в городе Абай Карагандинской области (далее – дом). Дом разделен смежной стеной на две квартиры. Каждая квартира имела по одной входной двери и использовалась для длительного проживания. Квартира ответчика не выведена из состава жилого фонда. </w:t>
      </w:r>
    </w:p>
    <w:p w14:paraId="5F956F86" w14:textId="77777777" w:rsidR="00484D01" w:rsidRDefault="00A20841" w:rsidP="00C2610E">
      <w:pPr>
        <w:ind w:firstLine="720"/>
        <w:jc w:val="both"/>
        <w:rPr>
          <w:rFonts w:ascii="Times New Roman" w:hAnsi="Times New Roman" w:cs="Times New Roman"/>
          <w:sz w:val="24"/>
          <w:szCs w:val="24"/>
        </w:rPr>
      </w:pPr>
      <w:r w:rsidRPr="00C2610E">
        <w:rPr>
          <w:rFonts w:ascii="Times New Roman" w:hAnsi="Times New Roman" w:cs="Times New Roman"/>
          <w:sz w:val="24"/>
          <w:szCs w:val="24"/>
        </w:rPr>
        <w:t xml:space="preserve">Суд первой инстанции, отказывая в иске, пришел к выводу о том, что истцом не был доказан факт нарушения эксплуатации ответчиком квартиры. Суд апелляционной инстанции согласился с указанными выводами суда первой инстанции, указав, что проверка незаконности перепланировки относится к компетенции государственных органов, и в случае нарушения норм законодательства в сфере градостроительства со стороны ответчика имеют право не ставить на учет акт приемки объекта. В ходатайстве заявитель указывал, что при рассмотрении дела данный вопрос не устанавливался, каких-либо документов, указывающих на законность и безопасность перепланировки квартиры со стороны К., предоставлено не было. Согласно подпункту 2) пункта 1 и пункту 2 статьи 1 Земельного кодекса Республики Казахстан (далее – Земельный кодекс) земли населенных пунктов (городов, поселков и сельских населенных пунктов)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 в соответствии с зонированием земель (территории). </w:t>
      </w:r>
    </w:p>
    <w:p w14:paraId="0E586773" w14:textId="77777777" w:rsidR="00484D01" w:rsidRDefault="00A20841" w:rsidP="00C2610E">
      <w:pPr>
        <w:ind w:firstLine="720"/>
        <w:jc w:val="both"/>
        <w:rPr>
          <w:rFonts w:ascii="Times New Roman" w:hAnsi="Times New Roman" w:cs="Times New Roman"/>
          <w:sz w:val="24"/>
          <w:szCs w:val="24"/>
        </w:rPr>
      </w:pPr>
      <w:r w:rsidRPr="00C2610E">
        <w:rPr>
          <w:rFonts w:ascii="Times New Roman" w:hAnsi="Times New Roman" w:cs="Times New Roman"/>
          <w:sz w:val="24"/>
          <w:szCs w:val="24"/>
        </w:rPr>
        <w:t xml:space="preserve">В соответствии с пунктом 4 статьи 8 Земельного кодекса целевой режим использования территории, определенный при зонировании земель, является для субъектов земельных правоотношений обязательным. По Генеральному плану земель Абайского района целевое назначение земельного участка в переулке Угольном, дом 6, состоит в обслуживании жилого </w:t>
      </w:r>
      <w:r w:rsidRPr="00C2610E">
        <w:rPr>
          <w:rFonts w:ascii="Times New Roman" w:hAnsi="Times New Roman" w:cs="Times New Roman"/>
          <w:sz w:val="24"/>
          <w:szCs w:val="24"/>
        </w:rPr>
        <w:lastRenderedPageBreak/>
        <w:t xml:space="preserve">дома. В связи с этим для занятия коммерческой деятельностью целевое назначение земельного участка должно быть изменено в порядке, установленном статьей </w:t>
      </w:r>
      <w:proofErr w:type="gramStart"/>
      <w:r w:rsidRPr="00C2610E">
        <w:rPr>
          <w:rFonts w:ascii="Times New Roman" w:hAnsi="Times New Roman" w:cs="Times New Roman"/>
          <w:sz w:val="24"/>
          <w:szCs w:val="24"/>
        </w:rPr>
        <w:t>49-1</w:t>
      </w:r>
      <w:proofErr w:type="gramEnd"/>
      <w:r w:rsidRPr="00C2610E">
        <w:rPr>
          <w:rFonts w:ascii="Times New Roman" w:hAnsi="Times New Roman" w:cs="Times New Roman"/>
          <w:sz w:val="24"/>
          <w:szCs w:val="24"/>
        </w:rPr>
        <w:t xml:space="preserve"> Земельного кодекса. Из представленных К. копии договора купли-продажи жилого дома и права собственности на земельный участок от 2 апреля 2018 года, а также акта приемки № 209 построенного объекта в эксплуатацию от 5 июня 2018 года следует, что объект введен в эксплуатацию как жилой дом. </w:t>
      </w:r>
    </w:p>
    <w:p w14:paraId="49DB3625" w14:textId="77777777" w:rsidR="00484D01" w:rsidRDefault="00A20841" w:rsidP="00C2610E">
      <w:pPr>
        <w:ind w:firstLine="720"/>
        <w:jc w:val="both"/>
        <w:rPr>
          <w:rFonts w:ascii="Times New Roman" w:hAnsi="Times New Roman" w:cs="Times New Roman"/>
          <w:sz w:val="24"/>
          <w:szCs w:val="24"/>
        </w:rPr>
      </w:pPr>
      <w:r w:rsidRPr="00C2610E">
        <w:rPr>
          <w:rFonts w:ascii="Times New Roman" w:hAnsi="Times New Roman" w:cs="Times New Roman"/>
          <w:sz w:val="24"/>
          <w:szCs w:val="24"/>
        </w:rPr>
        <w:t xml:space="preserve">Согласно подпунктам 24), 27) и 28) статьи 2 Закона Республики Казахстан «О жилищных отношениях» (далее – Закон): квартира – отдельное жилище, являющееся частью многоквартирного жилого дома, предназначенное и используемое для постоянного проживания; жилище – отдельная жилая единица (индивидуальный жилой дом, квартира, комната в общежитии), предназначенная и используемая для постоянного проживания, отвечающая установленным строительным, санитарным, экологическим, противопожарным и другим обязательным нормам и правилам; нежилое помещение – отдельное внутреннее пространство в многоквартирном жилом доме, соответствующее строительным, санитарным, экологическим, противопожарным и другим обязательным нормам и правилам, предусмотренное на стадии проекта, границами которого являются внутренние поверхности стен, пола и потолка (межэтажных перекрытий), если иное не предусмотрено законодательством Республики Казахстан, используемое в иных, чем постоянное проживание, целях (офис, магазин, кафе, гостиница, хостел и другие объекты сферы услуг населению) и находящееся в индивидуальной (раздельной) собственности, за исключением общего имущества объекта кондоминиума. </w:t>
      </w:r>
    </w:p>
    <w:p w14:paraId="4C0458B4" w14:textId="77777777" w:rsidR="00484D01" w:rsidRDefault="00A20841" w:rsidP="00C2610E">
      <w:pPr>
        <w:ind w:firstLine="720"/>
        <w:jc w:val="both"/>
        <w:rPr>
          <w:rFonts w:ascii="Times New Roman" w:hAnsi="Times New Roman" w:cs="Times New Roman"/>
          <w:sz w:val="24"/>
          <w:szCs w:val="24"/>
        </w:rPr>
      </w:pPr>
      <w:r w:rsidRPr="00C2610E">
        <w:rPr>
          <w:rFonts w:ascii="Times New Roman" w:hAnsi="Times New Roman" w:cs="Times New Roman"/>
          <w:sz w:val="24"/>
          <w:szCs w:val="24"/>
        </w:rPr>
        <w:t xml:space="preserve">Собственник обязан принимать меры, предотвращающие ущерб здоровью граждан и окружающей среде, который может быть нанесен при осуществлении его прав. В данном случае, сдавая в наем жилье, ответчик проживает отдельно, безопасность квартиры не обеспечивает, постояльцы устраивают шум, железная дверь, переделанная из оконного проема, находится рядом со смежной стеной и окном истца, постоянно стучит при закрывании, чем нарушаются условия проживания последнего. Тем самым сдача в наем жилища, не предполагающего длительное проживание в нем лиц, означает использование его как нежилого помещения, что противоречит заявленной ответчиком деятельности. В соответствии с пунктом 3 статьи 40 Закона при переоборудовании и (или) перепланировке квартир, нежилых помещений требуется обязательное письменное согласие не менее двух третей от общего числа собственников квартир, нежилых помещений в случаях, если изменения затрагивают: несущие и (или) ограждающие конструкции; функциональное назначение квартир, нежилых помещений. </w:t>
      </w:r>
    </w:p>
    <w:p w14:paraId="6FE9D4F6" w14:textId="77777777" w:rsidR="00484D01" w:rsidRDefault="00A20841" w:rsidP="00C2610E">
      <w:pPr>
        <w:ind w:firstLine="720"/>
        <w:jc w:val="both"/>
        <w:rPr>
          <w:rFonts w:ascii="Times New Roman" w:hAnsi="Times New Roman" w:cs="Times New Roman"/>
          <w:sz w:val="24"/>
          <w:szCs w:val="24"/>
        </w:rPr>
      </w:pPr>
      <w:r w:rsidRPr="00C2610E">
        <w:rPr>
          <w:rFonts w:ascii="Times New Roman" w:hAnsi="Times New Roman" w:cs="Times New Roman"/>
          <w:sz w:val="24"/>
          <w:szCs w:val="24"/>
        </w:rPr>
        <w:t xml:space="preserve">Согласно подпункту 17) статьи 2 Закона, переоборудование есть изменение помещения (помещений), связанное с изменением его функционального назначения, полной или частичной заменой внутренней системы технологического и (или) инженерного оборудования, необходимого для жизнеобеспечения и эксплуатации. Заявитель указывает, что она не давала разрешение на переоборудование и перепланировку квартиры. Из акта осмотра специалистов ГУ «Аппарат акима города Абай Карагандинской области», ГУ «Отдел предпринимательства и промышленности Абайского района», УИП ДП Абайского района прилегающей территории жилого дома № 6 по переулку Угольный города Абай от 19 июня 2019 года следует, что земельный участок используется владельцем К. для сдачи в аренду (как место для отдыха по типу гостиницы), то есть не по целевому назначению, чем нарушается действующее законодательство. </w:t>
      </w:r>
    </w:p>
    <w:p w14:paraId="1C113091" w14:textId="44A1D1FB" w:rsidR="00F173BA" w:rsidRPr="00C2610E" w:rsidRDefault="00A20841" w:rsidP="00C2610E">
      <w:pPr>
        <w:ind w:firstLine="720"/>
        <w:jc w:val="both"/>
        <w:rPr>
          <w:rFonts w:ascii="Times New Roman" w:hAnsi="Times New Roman" w:cs="Times New Roman"/>
          <w:sz w:val="24"/>
          <w:szCs w:val="24"/>
        </w:rPr>
      </w:pPr>
      <w:r w:rsidRPr="00C2610E">
        <w:rPr>
          <w:rFonts w:ascii="Times New Roman" w:hAnsi="Times New Roman" w:cs="Times New Roman"/>
          <w:sz w:val="24"/>
          <w:szCs w:val="24"/>
        </w:rPr>
        <w:t xml:space="preserve">В материалах дела имеется уведомление ГУ «Аппарат акима города Абай Карагандинской области» от 20 июня 2019 года </w:t>
      </w:r>
      <w:proofErr w:type="gramStart"/>
      <w:r w:rsidRPr="00C2610E">
        <w:rPr>
          <w:rFonts w:ascii="Times New Roman" w:hAnsi="Times New Roman" w:cs="Times New Roman"/>
          <w:sz w:val="24"/>
          <w:szCs w:val="24"/>
        </w:rPr>
        <w:t>№ 2-4/716</w:t>
      </w:r>
      <w:proofErr w:type="gramEnd"/>
      <w:r w:rsidRPr="00C2610E">
        <w:rPr>
          <w:rFonts w:ascii="Times New Roman" w:hAnsi="Times New Roman" w:cs="Times New Roman"/>
          <w:sz w:val="24"/>
          <w:szCs w:val="24"/>
        </w:rPr>
        <w:t xml:space="preserve">, направленное ответчику, где </w:t>
      </w:r>
      <w:r w:rsidRPr="00C2610E">
        <w:rPr>
          <w:rFonts w:ascii="Times New Roman" w:hAnsi="Times New Roman" w:cs="Times New Roman"/>
          <w:sz w:val="24"/>
          <w:szCs w:val="24"/>
        </w:rPr>
        <w:lastRenderedPageBreak/>
        <w:t>указано о необходимости изменения целевого назначения земельного участка в соответствии с действующим законодательством</w:t>
      </w:r>
      <w:r w:rsidR="008D3610" w:rsidRPr="00C2610E">
        <w:rPr>
          <w:rFonts w:ascii="Times New Roman" w:hAnsi="Times New Roman" w:cs="Times New Roman"/>
          <w:sz w:val="24"/>
          <w:szCs w:val="24"/>
        </w:rPr>
        <w:t xml:space="preserve"> Республики Казахстан и получения технической документации для переоборудования. С учетом того, что квартира № 2, принадлежащая К. с правом собственности </w:t>
      </w:r>
      <w:hyperlink r:id="rId7" w:history="1">
        <w:r w:rsidR="008D3610" w:rsidRPr="00484D01">
          <w:rPr>
            <w:rStyle w:val="aa"/>
            <w:rFonts w:ascii="Times New Roman" w:hAnsi="Times New Roman" w:cs="Times New Roman"/>
            <w:sz w:val="24"/>
            <w:szCs w:val="24"/>
          </w:rPr>
          <w:t>на земельный участок, не выведена из жилищного фонда и не</w:t>
        </w:r>
      </w:hyperlink>
      <w:r w:rsidR="008D3610" w:rsidRPr="00C2610E">
        <w:rPr>
          <w:rFonts w:ascii="Times New Roman" w:hAnsi="Times New Roman" w:cs="Times New Roman"/>
          <w:sz w:val="24"/>
          <w:szCs w:val="24"/>
        </w:rPr>
        <w:t xml:space="preserve"> переведена в коммерческое помещение, не изменено целевое назначение земельного участка, К. должен использовать данную квартиру по назначению как квартиру для длительного проживания с одной входной дверью, не нарушая прав и охраняемых законом интересов других лиц и государства.</w:t>
      </w:r>
    </w:p>
    <w:p w14:paraId="1D196CDE" w14:textId="737247FA" w:rsidR="00F173BA" w:rsidRPr="00C2610E" w:rsidRDefault="00F173BA" w:rsidP="00C2610E">
      <w:pPr>
        <w:jc w:val="both"/>
        <w:rPr>
          <w:rFonts w:ascii="Times New Roman" w:hAnsi="Times New Roman" w:cs="Times New Roman"/>
          <w:sz w:val="24"/>
          <w:szCs w:val="24"/>
        </w:rPr>
      </w:pPr>
    </w:p>
    <w:p w14:paraId="02403F08" w14:textId="75BEB719" w:rsidR="00F173BA" w:rsidRPr="00C2610E" w:rsidRDefault="00F173BA" w:rsidP="00C2610E">
      <w:pPr>
        <w:jc w:val="both"/>
        <w:rPr>
          <w:rFonts w:ascii="Times New Roman" w:hAnsi="Times New Roman" w:cs="Times New Roman"/>
          <w:sz w:val="24"/>
          <w:szCs w:val="24"/>
        </w:rPr>
      </w:pPr>
    </w:p>
    <w:p w14:paraId="308325D5" w14:textId="324F2E94" w:rsidR="00F173BA" w:rsidRPr="00C2610E" w:rsidRDefault="00F173BA" w:rsidP="00C2610E">
      <w:pPr>
        <w:jc w:val="both"/>
        <w:rPr>
          <w:rFonts w:ascii="Times New Roman" w:hAnsi="Times New Roman" w:cs="Times New Roman"/>
          <w:sz w:val="24"/>
          <w:szCs w:val="24"/>
        </w:rPr>
      </w:pPr>
    </w:p>
    <w:p w14:paraId="22BAA135" w14:textId="6CC745FE" w:rsidR="00F173BA" w:rsidRPr="00C2610E" w:rsidRDefault="00F173BA" w:rsidP="00C2610E">
      <w:pPr>
        <w:jc w:val="both"/>
        <w:rPr>
          <w:rFonts w:ascii="Times New Roman" w:hAnsi="Times New Roman" w:cs="Times New Roman"/>
          <w:sz w:val="24"/>
          <w:szCs w:val="24"/>
        </w:rPr>
      </w:pPr>
    </w:p>
    <w:p w14:paraId="33D51603" w14:textId="10BA4AEF" w:rsidR="00F173BA" w:rsidRPr="00C2610E" w:rsidRDefault="00F173BA" w:rsidP="00C2610E">
      <w:pPr>
        <w:jc w:val="both"/>
        <w:rPr>
          <w:rFonts w:ascii="Times New Roman" w:hAnsi="Times New Roman" w:cs="Times New Roman"/>
          <w:sz w:val="24"/>
          <w:szCs w:val="24"/>
        </w:rPr>
      </w:pPr>
    </w:p>
    <w:p w14:paraId="55D95E22" w14:textId="0EFD17BF" w:rsidR="00F173BA" w:rsidRPr="00C2610E" w:rsidRDefault="00F173BA" w:rsidP="00C2610E">
      <w:pPr>
        <w:jc w:val="both"/>
        <w:rPr>
          <w:rFonts w:ascii="Times New Roman" w:hAnsi="Times New Roman" w:cs="Times New Roman"/>
          <w:sz w:val="24"/>
          <w:szCs w:val="24"/>
        </w:rPr>
      </w:pPr>
    </w:p>
    <w:p w14:paraId="1E84A240" w14:textId="61513D00" w:rsidR="00F173BA" w:rsidRPr="00C2610E" w:rsidRDefault="00F173BA" w:rsidP="00C2610E">
      <w:pPr>
        <w:jc w:val="both"/>
        <w:rPr>
          <w:rFonts w:ascii="Times New Roman" w:hAnsi="Times New Roman" w:cs="Times New Roman"/>
          <w:sz w:val="24"/>
          <w:szCs w:val="24"/>
        </w:rPr>
      </w:pPr>
    </w:p>
    <w:p w14:paraId="049E1B58" w14:textId="408BB97D" w:rsidR="00F173BA" w:rsidRPr="00C2610E" w:rsidRDefault="00F173BA" w:rsidP="00C2610E">
      <w:pPr>
        <w:jc w:val="both"/>
        <w:rPr>
          <w:rFonts w:ascii="Times New Roman" w:hAnsi="Times New Roman" w:cs="Times New Roman"/>
          <w:sz w:val="24"/>
          <w:szCs w:val="24"/>
        </w:rPr>
      </w:pPr>
    </w:p>
    <w:p w14:paraId="3F19C72F" w14:textId="49CAEBA5" w:rsidR="00F173BA" w:rsidRPr="00C2610E" w:rsidRDefault="00F173BA" w:rsidP="00C2610E">
      <w:pPr>
        <w:tabs>
          <w:tab w:val="left" w:pos="6948"/>
        </w:tabs>
        <w:jc w:val="both"/>
        <w:rPr>
          <w:rFonts w:ascii="Times New Roman" w:hAnsi="Times New Roman" w:cs="Times New Roman"/>
          <w:sz w:val="24"/>
          <w:szCs w:val="24"/>
        </w:rPr>
      </w:pPr>
      <w:r w:rsidRPr="00C2610E">
        <w:rPr>
          <w:rFonts w:ascii="Times New Roman" w:hAnsi="Times New Roman" w:cs="Times New Roman"/>
          <w:sz w:val="24"/>
          <w:szCs w:val="24"/>
        </w:rPr>
        <w:tab/>
      </w:r>
    </w:p>
    <w:sectPr w:rsidR="00F173BA" w:rsidRPr="00C2610E"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050B1" w14:textId="77777777" w:rsidR="00F437CA" w:rsidRDefault="00F437CA" w:rsidP="00702393">
      <w:pPr>
        <w:spacing w:after="0" w:line="240" w:lineRule="auto"/>
      </w:pPr>
      <w:r>
        <w:separator/>
      </w:r>
    </w:p>
  </w:endnote>
  <w:endnote w:type="continuationSeparator" w:id="0">
    <w:p w14:paraId="3F839707" w14:textId="77777777" w:rsidR="00F437CA" w:rsidRDefault="00F437C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C7499" w14:textId="77777777" w:rsidR="00F437CA" w:rsidRDefault="00F437CA" w:rsidP="00702393">
      <w:pPr>
        <w:spacing w:after="0" w:line="240" w:lineRule="auto"/>
      </w:pPr>
      <w:r>
        <w:separator/>
      </w:r>
    </w:p>
  </w:footnote>
  <w:footnote w:type="continuationSeparator" w:id="0">
    <w:p w14:paraId="61A3C7CC" w14:textId="77777777" w:rsidR="00F437CA" w:rsidRDefault="00F437C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484D01"/>
    <w:rsid w:val="004D429A"/>
    <w:rsid w:val="005A3B78"/>
    <w:rsid w:val="006838BC"/>
    <w:rsid w:val="006B0A4D"/>
    <w:rsid w:val="006E2D0A"/>
    <w:rsid w:val="00702393"/>
    <w:rsid w:val="00722D19"/>
    <w:rsid w:val="008A7236"/>
    <w:rsid w:val="008D3610"/>
    <w:rsid w:val="008E7DF6"/>
    <w:rsid w:val="0091354D"/>
    <w:rsid w:val="00940023"/>
    <w:rsid w:val="0094655E"/>
    <w:rsid w:val="009E6904"/>
    <w:rsid w:val="00A20841"/>
    <w:rsid w:val="00A23573"/>
    <w:rsid w:val="00A45B15"/>
    <w:rsid w:val="00A81D5F"/>
    <w:rsid w:val="00B31BDB"/>
    <w:rsid w:val="00BD7730"/>
    <w:rsid w:val="00C16D9C"/>
    <w:rsid w:val="00C2610E"/>
    <w:rsid w:val="00C26940"/>
    <w:rsid w:val="00CB275A"/>
    <w:rsid w:val="00CF5BD5"/>
    <w:rsid w:val="00D02DFB"/>
    <w:rsid w:val="00DB660C"/>
    <w:rsid w:val="00EE78AD"/>
    <w:rsid w:val="00F173BA"/>
    <w:rsid w:val="00F437C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484D01"/>
    <w:rPr>
      <w:color w:val="0563C1" w:themeColor="hyperlink"/>
      <w:u w:val="single"/>
    </w:rPr>
  </w:style>
  <w:style w:type="character" w:styleId="ab">
    <w:name w:val="Unresolved Mention"/>
    <w:basedOn w:val="a0"/>
    <w:uiPriority w:val="99"/>
    <w:semiHidden/>
    <w:unhideWhenUsed/>
    <w:rsid w:val="00484D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Pages>
  <Words>1165</Words>
  <Characters>6641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2021-12-10T17:19:00Z</dcterms:modified>
</cp:coreProperties>
</file>