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536DA4B5" w:rsidR="00A81D5F" w:rsidRPr="00C2610E" w:rsidRDefault="004D429A" w:rsidP="00C2610E">
      <w:pPr>
        <w:jc w:val="center"/>
        <w:rPr>
          <w:rFonts w:ascii="Times New Roman" w:hAnsi="Times New Roman" w:cs="Times New Roman"/>
          <w:b/>
          <w:bCs/>
          <w:sz w:val="24"/>
          <w:szCs w:val="24"/>
        </w:rPr>
      </w:pPr>
      <w:r w:rsidRPr="00C2610E">
        <w:rPr>
          <w:rFonts w:ascii="Times New Roman" w:hAnsi="Times New Roman" w:cs="Times New Roman"/>
          <w:b/>
          <w:bCs/>
          <w:sz w:val="24"/>
          <w:szCs w:val="24"/>
        </w:rPr>
        <w:t>Жилищные споры изменение помещения,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p w14:paraId="7EA7FA65" w14:textId="0D3DEF47" w:rsidR="00F173BA" w:rsidRPr="00C2610E" w:rsidRDefault="00F173BA" w:rsidP="00C2610E">
      <w:pPr>
        <w:jc w:val="both"/>
        <w:rPr>
          <w:rFonts w:ascii="Times New Roman" w:hAnsi="Times New Roman" w:cs="Times New Roman"/>
          <w:sz w:val="24"/>
          <w:szCs w:val="24"/>
        </w:rPr>
      </w:pPr>
    </w:p>
    <w:p w14:paraId="3EAB8410" w14:textId="61A02D8F" w:rsidR="00C2610E"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Г. обратилась в суд с иском к </w:t>
      </w:r>
      <w:proofErr w:type="spellStart"/>
      <w:r w:rsidRPr="00C2610E">
        <w:rPr>
          <w:rFonts w:ascii="Times New Roman" w:hAnsi="Times New Roman" w:cs="Times New Roman"/>
          <w:sz w:val="24"/>
          <w:szCs w:val="24"/>
        </w:rPr>
        <w:t>К</w:t>
      </w:r>
      <w:proofErr w:type="spellEnd"/>
      <w:r w:rsidRPr="00C2610E">
        <w:rPr>
          <w:rFonts w:ascii="Times New Roman" w:hAnsi="Times New Roman" w:cs="Times New Roman"/>
          <w:sz w:val="24"/>
          <w:szCs w:val="24"/>
        </w:rPr>
        <w:t xml:space="preserve">. об </w:t>
      </w:r>
      <w:proofErr w:type="spellStart"/>
      <w:r w:rsidRPr="00C2610E">
        <w:rPr>
          <w:rFonts w:ascii="Times New Roman" w:hAnsi="Times New Roman" w:cs="Times New Roman"/>
          <w:sz w:val="24"/>
          <w:szCs w:val="24"/>
        </w:rPr>
        <w:t>обязании</w:t>
      </w:r>
      <w:proofErr w:type="spellEnd"/>
      <w:r w:rsidRPr="00C2610E">
        <w:rPr>
          <w:rFonts w:ascii="Times New Roman" w:hAnsi="Times New Roman" w:cs="Times New Roman"/>
          <w:sz w:val="24"/>
          <w:szCs w:val="24"/>
        </w:rPr>
        <w:t xml:space="preserve"> прекратить эксплуатацию квартиры как нежилого помещения и об устранении нарушений, вызванных перепланировкой квартиры, путем демонтажа дверных проемов вблизи со смежной стеной, мотивируя тем, что ответчик переоборудовал свою </w:t>
      </w:r>
      <w:hyperlink r:id="rId6" w:history="1">
        <w:r w:rsidRPr="006838BC">
          <w:rPr>
            <w:rStyle w:val="aa"/>
            <w:rFonts w:ascii="Times New Roman" w:hAnsi="Times New Roman" w:cs="Times New Roman"/>
            <w:sz w:val="24"/>
            <w:szCs w:val="24"/>
          </w:rPr>
          <w:t>квартиру в мини-гостиницу для почасового обслуживания</w:t>
        </w:r>
      </w:hyperlink>
      <w:r w:rsidRPr="00C2610E">
        <w:rPr>
          <w:rFonts w:ascii="Times New Roman" w:hAnsi="Times New Roman" w:cs="Times New Roman"/>
          <w:sz w:val="24"/>
          <w:szCs w:val="24"/>
        </w:rPr>
        <w:t xml:space="preserve"> посетителей и использует ее в коммерческих целях, в каждой комнате установил входную дверь наружу, увеличил количество сантехнических узлов. Данное заведение посещают разные люди для увеселительной цели, которые шумят, нарушают ее покой. </w:t>
      </w:r>
    </w:p>
    <w:p w14:paraId="044ADDCB" w14:textId="77777777" w:rsidR="00C2610E"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Дом старый, общая стена не имеет звукоизоляции. Из оконного проема рядом со смежной общей стеной ответчик сделал дверной проем. При использовании данной двери создается шум, что ухудшает условия ее проживания. Решением Абайского районного суда Карагандинской области от 30 июня 2020 года в удовлетворении иска отказано. Постановлением судебной коллегии по гражданским делам Карагандинского областного суда от 2 сентября 2020 года решение суда оставлено без изменения. Судебная коллегия по гражданским делам Верховного Суда отменила судебные акты местных судов и вынесла новое решение. </w:t>
      </w:r>
    </w:p>
    <w:p w14:paraId="313D9443"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Исковое заявление Г. удовлетворила, К. обязала прекратить эксплуатацию квартиры как нежилого помещения и устранить нарушения, вызванные перепланировкой квартиры, путем демонтажа дверных проемов вблизи со смежной стеной по следующим основаниям. - Из материалов дела следует, что Г. является собственником квартиры № 1, а К. собственником квартиры № 2 в доме № 6 в переулке Угольном в городе Абай Карагандинской области (далее – дом). Дом разделен смежной стеной на две квартиры. Каждая квартира имела по одной входной двери и использовалась для длительного проживания. Квартира ответчика не выведена из состава жилого фонда. </w:t>
      </w:r>
    </w:p>
    <w:p w14:paraId="5F956F86"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Суд первой инстанции, отказывая в иске, пришел к выводу о том, что истцом не был доказан факт нарушения эксплуатации ответчиком квартиры. Суд апелляционной инстанции согласился с указанными выводами суда первой инстанции, указав, что проверка незаконности перепланировки относится к компетенции государственных органов, и в случае нарушения норм законодательства в сфере градостроительства со стороны ответчика имеют право не ставить на учет акт приемки объекта. В ходатайстве заявитель указывал, что при рассмотрении дела данный вопрос не устанавливался, каких-либо документов, указывающих на законность и безопасность перепланировки квартиры со стороны К., предоставлено не было. Согласно подпункту 2) пункта 1 и пункту 2 статьи 1 Земельного кодекса Республики Казахстан (далее – Земельный кодекс) земли населенных пунктов (городов, поселков и сельских населенных пунктов)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земель (территории). </w:t>
      </w:r>
    </w:p>
    <w:p w14:paraId="0E586773"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В соответствии с пунктом 4 статьи 8 Земельного кодекса целевой режим использования территории, определенный при зонировании земель, является для субъектов земельных правоотношений обязательным. По Генеральному плану земель Абайского района целевое назначение земельного участка в переулке Угольном, дом 6, состоит в обслуживании жилого </w:t>
      </w:r>
      <w:r w:rsidRPr="00C2610E">
        <w:rPr>
          <w:rFonts w:ascii="Times New Roman" w:hAnsi="Times New Roman" w:cs="Times New Roman"/>
          <w:sz w:val="24"/>
          <w:szCs w:val="24"/>
        </w:rPr>
        <w:lastRenderedPageBreak/>
        <w:t xml:space="preserve">дома. В связи с этим для занятия коммерческой деятельностью целевое назначение земельного участка должно быть изменено в порядке, установленном статьей </w:t>
      </w:r>
      <w:proofErr w:type="gramStart"/>
      <w:r w:rsidRPr="00C2610E">
        <w:rPr>
          <w:rFonts w:ascii="Times New Roman" w:hAnsi="Times New Roman" w:cs="Times New Roman"/>
          <w:sz w:val="24"/>
          <w:szCs w:val="24"/>
        </w:rPr>
        <w:t>49-1</w:t>
      </w:r>
      <w:proofErr w:type="gramEnd"/>
      <w:r w:rsidRPr="00C2610E">
        <w:rPr>
          <w:rFonts w:ascii="Times New Roman" w:hAnsi="Times New Roman" w:cs="Times New Roman"/>
          <w:sz w:val="24"/>
          <w:szCs w:val="24"/>
        </w:rPr>
        <w:t xml:space="preserve"> Земельного кодекса. Из представленных К. копии договора купли-продажи жилого дома и права собственности на земельный участок от 2 апреля 2018 года, а также акта приемки № 209 построенного объекта в эксплуатацию от 5 июня 2018 года следует, что объект введен в эксплуатацию как жилой дом. </w:t>
      </w:r>
    </w:p>
    <w:p w14:paraId="49DB3625"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Согласно подпунктам 24), 27) и 28) статьи 2 Закона Республики Казахстан «О жилищных отношениях» (далее – Закон): квартира – отдельное жилище, являющееся частью многоквартирного жилого дома, предназначенное и используемое для постоянного проживания; жилище – отдельная жилая единица (индивидуальный жилой дом, квартира, комната в общежитии),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 </w:t>
      </w:r>
    </w:p>
    <w:p w14:paraId="4C0458B4"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Собственник обязан принимать меры, предотвращающие ущерб здоровью граждан и окружающей среде, который может быть нанесен при осуществлении его прав. В данном случае, сдавая в наем жилье, ответчик проживает отдельно, безопасность квартиры не обеспечивает, постояльцы устраивают шум, железная дверь, переделанная из оконного проема, находится рядом со смежной стеной и окном истца, постоянно стучит при закрывании, чем нарушаются условия проживания последнего. Тем самым сдача в наем жилища, не предполагающего длительное проживание в нем лиц, означает использование его как нежилого помещения, что противоречит заявленной ответчиком деятельности. В соответствии с пунктом 3 статьи 40 Закона при переоборудовании и (или) перепланировке квартир, нежилых помещений требуется обязательное письменное согласие не менее двух третей от общего числа собственников квартир, нежилых помещений в случаях, если изменения затрагивают: несущие и (или) ограждающие конструкции; функциональное назначение квартир, нежилых помещений. </w:t>
      </w:r>
    </w:p>
    <w:p w14:paraId="6FE9D4F6" w14:textId="77777777" w:rsidR="00484D01"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Согласно подпункту 17) статьи 2 Закона, переоборудование есть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 Заявитель указывает, что она не давала разрешение на переоборудование и перепланировку квартиры. Из акта осмотра специалистов ГУ «Аппарат акима города Абай Карагандинской области», ГУ «Отдел предпринимательства и промышленности Абайского района», УИП ДП Абайского района прилегающей территории жилого дома № 6 по переулку Угольный города Абай от 19 июня 2019 года следует, что земельный участок используется владельцем К. для сдачи в аренду (как место для отдыха по типу гостиницы), то есть не по целевому назначению, чем нарушается действующее законодательство. </w:t>
      </w:r>
    </w:p>
    <w:p w14:paraId="1C113091" w14:textId="44A1D1FB" w:rsidR="00F173BA" w:rsidRPr="00C2610E" w:rsidRDefault="00A20841" w:rsidP="00C2610E">
      <w:pPr>
        <w:ind w:firstLine="720"/>
        <w:jc w:val="both"/>
        <w:rPr>
          <w:rFonts w:ascii="Times New Roman" w:hAnsi="Times New Roman" w:cs="Times New Roman"/>
          <w:sz w:val="24"/>
          <w:szCs w:val="24"/>
        </w:rPr>
      </w:pPr>
      <w:r w:rsidRPr="00C2610E">
        <w:rPr>
          <w:rFonts w:ascii="Times New Roman" w:hAnsi="Times New Roman" w:cs="Times New Roman"/>
          <w:sz w:val="24"/>
          <w:szCs w:val="24"/>
        </w:rPr>
        <w:t xml:space="preserve">В материалах дела имеется уведомление ГУ «Аппарат акима города Абай Карагандинской области» от 20 июня 2019 года </w:t>
      </w:r>
      <w:proofErr w:type="gramStart"/>
      <w:r w:rsidRPr="00C2610E">
        <w:rPr>
          <w:rFonts w:ascii="Times New Roman" w:hAnsi="Times New Roman" w:cs="Times New Roman"/>
          <w:sz w:val="24"/>
          <w:szCs w:val="24"/>
        </w:rPr>
        <w:t>№ 2-4/716</w:t>
      </w:r>
      <w:proofErr w:type="gramEnd"/>
      <w:r w:rsidRPr="00C2610E">
        <w:rPr>
          <w:rFonts w:ascii="Times New Roman" w:hAnsi="Times New Roman" w:cs="Times New Roman"/>
          <w:sz w:val="24"/>
          <w:szCs w:val="24"/>
        </w:rPr>
        <w:t xml:space="preserve">, направленное ответчику, где </w:t>
      </w:r>
      <w:r w:rsidRPr="00C2610E">
        <w:rPr>
          <w:rFonts w:ascii="Times New Roman" w:hAnsi="Times New Roman" w:cs="Times New Roman"/>
          <w:sz w:val="24"/>
          <w:szCs w:val="24"/>
        </w:rPr>
        <w:lastRenderedPageBreak/>
        <w:t>указано о необходимости изменения целевого назначения земельного участка в соответствии с действующим законодательством</w:t>
      </w:r>
      <w:r w:rsidR="008D3610" w:rsidRPr="00C2610E">
        <w:rPr>
          <w:rFonts w:ascii="Times New Roman" w:hAnsi="Times New Roman" w:cs="Times New Roman"/>
          <w:sz w:val="24"/>
          <w:szCs w:val="24"/>
        </w:rPr>
        <w:t xml:space="preserve"> Республики Казахстан и получения технической документации для переоборудования. С учетом того, что квартира № 2, принадлежащая К. с правом собственности </w:t>
      </w:r>
      <w:hyperlink r:id="rId7" w:history="1">
        <w:r w:rsidR="008D3610" w:rsidRPr="00484D01">
          <w:rPr>
            <w:rStyle w:val="aa"/>
            <w:rFonts w:ascii="Times New Roman" w:hAnsi="Times New Roman" w:cs="Times New Roman"/>
            <w:sz w:val="24"/>
            <w:szCs w:val="24"/>
          </w:rPr>
          <w:t>на земельный участок, не выведена из жилищного фонда и не</w:t>
        </w:r>
      </w:hyperlink>
      <w:r w:rsidR="008D3610" w:rsidRPr="00C2610E">
        <w:rPr>
          <w:rFonts w:ascii="Times New Roman" w:hAnsi="Times New Roman" w:cs="Times New Roman"/>
          <w:sz w:val="24"/>
          <w:szCs w:val="24"/>
        </w:rPr>
        <w:t xml:space="preserve"> переведена в коммерческое помещение, не изменено целевое назначение земельного участка, К. должен использовать данную квартиру по назначению как квартиру для длительного проживания с одной входной дверью, не нарушая прав и охраняемых законом интересов других лиц и государства.</w:t>
      </w:r>
    </w:p>
    <w:p w14:paraId="1D196CDE" w14:textId="737247FA" w:rsidR="00F173BA" w:rsidRPr="00C2610E" w:rsidRDefault="00F173BA" w:rsidP="00C2610E">
      <w:pPr>
        <w:jc w:val="both"/>
        <w:rPr>
          <w:rFonts w:ascii="Times New Roman" w:hAnsi="Times New Roman" w:cs="Times New Roman"/>
          <w:sz w:val="24"/>
          <w:szCs w:val="24"/>
        </w:rPr>
      </w:pPr>
    </w:p>
    <w:p w14:paraId="02403F08" w14:textId="75BEB719" w:rsidR="00F173BA" w:rsidRPr="00C2610E" w:rsidRDefault="00F173BA" w:rsidP="00C2610E">
      <w:pPr>
        <w:jc w:val="both"/>
        <w:rPr>
          <w:rFonts w:ascii="Times New Roman" w:hAnsi="Times New Roman" w:cs="Times New Roman"/>
          <w:sz w:val="24"/>
          <w:szCs w:val="24"/>
        </w:rPr>
      </w:pPr>
    </w:p>
    <w:p w14:paraId="308325D5" w14:textId="324F2E94" w:rsidR="00F173BA" w:rsidRPr="00C2610E" w:rsidRDefault="00F173BA" w:rsidP="00C2610E">
      <w:pPr>
        <w:jc w:val="both"/>
        <w:rPr>
          <w:rFonts w:ascii="Times New Roman" w:hAnsi="Times New Roman" w:cs="Times New Roman"/>
          <w:sz w:val="24"/>
          <w:szCs w:val="24"/>
        </w:rPr>
      </w:pPr>
    </w:p>
    <w:p w14:paraId="22BAA135" w14:textId="6CC745FE" w:rsidR="00F173BA" w:rsidRPr="00C2610E" w:rsidRDefault="00F173BA" w:rsidP="00C2610E">
      <w:pPr>
        <w:jc w:val="both"/>
        <w:rPr>
          <w:rFonts w:ascii="Times New Roman" w:hAnsi="Times New Roman" w:cs="Times New Roman"/>
          <w:sz w:val="24"/>
          <w:szCs w:val="24"/>
        </w:rPr>
      </w:pPr>
    </w:p>
    <w:p w14:paraId="33D51603" w14:textId="10BA4AEF" w:rsidR="00F173BA" w:rsidRPr="00C2610E" w:rsidRDefault="00F173BA" w:rsidP="00C2610E">
      <w:pPr>
        <w:jc w:val="both"/>
        <w:rPr>
          <w:rFonts w:ascii="Times New Roman" w:hAnsi="Times New Roman" w:cs="Times New Roman"/>
          <w:sz w:val="24"/>
          <w:szCs w:val="24"/>
        </w:rPr>
      </w:pPr>
    </w:p>
    <w:p w14:paraId="55D95E22" w14:textId="0EFD17BF" w:rsidR="00F173BA" w:rsidRPr="00C2610E" w:rsidRDefault="00F173BA" w:rsidP="00C2610E">
      <w:pPr>
        <w:jc w:val="both"/>
        <w:rPr>
          <w:rFonts w:ascii="Times New Roman" w:hAnsi="Times New Roman" w:cs="Times New Roman"/>
          <w:sz w:val="24"/>
          <w:szCs w:val="24"/>
        </w:rPr>
      </w:pPr>
    </w:p>
    <w:p w14:paraId="1E84A240" w14:textId="61513D00" w:rsidR="00F173BA" w:rsidRPr="00C2610E" w:rsidRDefault="00F173BA" w:rsidP="00C2610E">
      <w:pPr>
        <w:jc w:val="both"/>
        <w:rPr>
          <w:rFonts w:ascii="Times New Roman" w:hAnsi="Times New Roman" w:cs="Times New Roman"/>
          <w:sz w:val="24"/>
          <w:szCs w:val="24"/>
        </w:rPr>
      </w:pPr>
    </w:p>
    <w:p w14:paraId="049E1B58" w14:textId="408BB97D" w:rsidR="00F173BA" w:rsidRPr="00C2610E" w:rsidRDefault="00F173BA" w:rsidP="00C2610E">
      <w:pPr>
        <w:jc w:val="both"/>
        <w:rPr>
          <w:rFonts w:ascii="Times New Roman" w:hAnsi="Times New Roman" w:cs="Times New Roman"/>
          <w:sz w:val="24"/>
          <w:szCs w:val="24"/>
        </w:rPr>
      </w:pPr>
    </w:p>
    <w:p w14:paraId="3F19C72F" w14:textId="49CAEBA5" w:rsidR="00F173BA" w:rsidRPr="00C2610E" w:rsidRDefault="00F173BA" w:rsidP="00C2610E">
      <w:pPr>
        <w:tabs>
          <w:tab w:val="left" w:pos="6948"/>
        </w:tabs>
        <w:jc w:val="both"/>
        <w:rPr>
          <w:rFonts w:ascii="Times New Roman" w:hAnsi="Times New Roman" w:cs="Times New Roman"/>
          <w:sz w:val="24"/>
          <w:szCs w:val="24"/>
        </w:rPr>
      </w:pPr>
      <w:r w:rsidRPr="00C2610E">
        <w:rPr>
          <w:rFonts w:ascii="Times New Roman" w:hAnsi="Times New Roman" w:cs="Times New Roman"/>
          <w:sz w:val="24"/>
          <w:szCs w:val="24"/>
        </w:rPr>
        <w:tab/>
      </w:r>
    </w:p>
    <w:sectPr w:rsidR="00F173BA" w:rsidRPr="00C2610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050B1" w14:textId="77777777" w:rsidR="00F437CA" w:rsidRDefault="00F437CA" w:rsidP="00702393">
      <w:pPr>
        <w:spacing w:after="0" w:line="240" w:lineRule="auto"/>
      </w:pPr>
      <w:r>
        <w:separator/>
      </w:r>
    </w:p>
  </w:endnote>
  <w:endnote w:type="continuationSeparator" w:id="0">
    <w:p w14:paraId="3F839707" w14:textId="77777777" w:rsidR="00F437CA" w:rsidRDefault="00F437C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C7499" w14:textId="77777777" w:rsidR="00F437CA" w:rsidRDefault="00F437CA" w:rsidP="00702393">
      <w:pPr>
        <w:spacing w:after="0" w:line="240" w:lineRule="auto"/>
      </w:pPr>
      <w:r>
        <w:separator/>
      </w:r>
    </w:p>
  </w:footnote>
  <w:footnote w:type="continuationSeparator" w:id="0">
    <w:p w14:paraId="61A3C7CC" w14:textId="77777777" w:rsidR="00F437CA" w:rsidRDefault="00F437C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84D01"/>
    <w:rsid w:val="004D429A"/>
    <w:rsid w:val="005A3B78"/>
    <w:rsid w:val="006838BC"/>
    <w:rsid w:val="006B0A4D"/>
    <w:rsid w:val="006E2D0A"/>
    <w:rsid w:val="00702393"/>
    <w:rsid w:val="00722D19"/>
    <w:rsid w:val="008A7236"/>
    <w:rsid w:val="008D3610"/>
    <w:rsid w:val="008E7DF6"/>
    <w:rsid w:val="0091354D"/>
    <w:rsid w:val="00940023"/>
    <w:rsid w:val="0094655E"/>
    <w:rsid w:val="009E6904"/>
    <w:rsid w:val="00A20841"/>
    <w:rsid w:val="00A23573"/>
    <w:rsid w:val="00A45B15"/>
    <w:rsid w:val="00A81D5F"/>
    <w:rsid w:val="00B31BDB"/>
    <w:rsid w:val="00BD7730"/>
    <w:rsid w:val="00C16D9C"/>
    <w:rsid w:val="00C2610E"/>
    <w:rsid w:val="00C26940"/>
    <w:rsid w:val="00CB275A"/>
    <w:rsid w:val="00CF5BD5"/>
    <w:rsid w:val="00D02DFB"/>
    <w:rsid w:val="00DB660C"/>
    <w:rsid w:val="00EE78AD"/>
    <w:rsid w:val="00F173BA"/>
    <w:rsid w:val="00F437C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484D01"/>
    <w:rPr>
      <w:color w:val="0563C1" w:themeColor="hyperlink"/>
      <w:u w:val="single"/>
    </w:rPr>
  </w:style>
  <w:style w:type="character" w:styleId="ab">
    <w:name w:val="Unresolved Mention"/>
    <w:basedOn w:val="a0"/>
    <w:uiPriority w:val="99"/>
    <w:semiHidden/>
    <w:unhideWhenUsed/>
    <w:rsid w:val="00484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ok.ru/group/5936961323025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1165</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2021-12-10T17:19:00Z</dcterms:modified>
</cp:coreProperties>
</file>