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20AA386D" w:rsidR="00A81D5F" w:rsidRPr="000701AC" w:rsidRDefault="00033309" w:rsidP="000701AC">
      <w:pPr>
        <w:jc w:val="center"/>
        <w:rPr>
          <w:rFonts w:ascii="Times New Roman" w:hAnsi="Times New Roman" w:cs="Times New Roman"/>
          <w:b/>
          <w:bCs/>
          <w:sz w:val="24"/>
          <w:szCs w:val="24"/>
        </w:rPr>
      </w:pPr>
      <w:r>
        <w:rPr>
          <w:rFonts w:ascii="Times New Roman" w:hAnsi="Times New Roman" w:cs="Times New Roman"/>
          <w:b/>
          <w:bCs/>
          <w:sz w:val="24"/>
          <w:szCs w:val="24"/>
        </w:rPr>
        <w:t>Адвокат в Алматы по уголовным делам Хулиганство</w:t>
      </w:r>
    </w:p>
    <w:p w14:paraId="7EA7FA65" w14:textId="0D3DEF47" w:rsidR="00F173BA" w:rsidRPr="000701AC" w:rsidRDefault="00F173BA" w:rsidP="000701AC">
      <w:pPr>
        <w:jc w:val="both"/>
        <w:rPr>
          <w:rFonts w:ascii="Times New Roman" w:hAnsi="Times New Roman" w:cs="Times New Roman"/>
          <w:sz w:val="24"/>
          <w:szCs w:val="24"/>
        </w:rPr>
      </w:pPr>
    </w:p>
    <w:p w14:paraId="3BD8D731" w14:textId="77777777" w:rsidR="000701AC" w:rsidRDefault="004448EB" w:rsidP="000701AC">
      <w:pPr>
        <w:ind w:firstLine="720"/>
        <w:jc w:val="both"/>
        <w:rPr>
          <w:rFonts w:ascii="Times New Roman" w:hAnsi="Times New Roman" w:cs="Times New Roman"/>
          <w:sz w:val="24"/>
          <w:szCs w:val="24"/>
        </w:rPr>
      </w:pPr>
      <w:r w:rsidRPr="000701AC">
        <w:rPr>
          <w:rFonts w:ascii="Times New Roman" w:hAnsi="Times New Roman" w:cs="Times New Roman"/>
          <w:sz w:val="24"/>
          <w:szCs w:val="24"/>
        </w:rPr>
        <w:t xml:space="preserve">Приговором специализированного межрайонного суда по уголовным делам Костанайской области от 15 марта 2019 года: И., ранее не судимый, осужден по части 1 статьи 380-1 Уголовного кодекса Республики Казахстан (далее – УК) к 10 годам лишения свободы с отбыванием наказания в учреждении уголовно-исполнительной системы максимальной безопасности. Судом И. признан виновным в том, что 16 октября 2018 года в ночное время в п. Боровское Костанайской области, имея при себе охотничье ружье, с целью посягательства на жизнь сотрудника правоохранительного органа, находясь в салоне своей автомашины, произвел два выстрела в здание отдела полиции Мендыкаринского района, повредил два окна кабинета следователя П., в которых горел свет, после чего скрылся с места происшествия. Причинил ГУ «Отдел полиции Мендыкаринского района» материальный ущерб на сумму 82 000 тенге. Постановлением судебной коллегии по уголовным делам Костанайского областного суда от 8 мая 2019 года приговор оставлен без изменения. </w:t>
      </w:r>
    </w:p>
    <w:p w14:paraId="6D7DC418" w14:textId="48704E0E" w:rsidR="000701AC" w:rsidRDefault="004448EB" w:rsidP="000701AC">
      <w:pPr>
        <w:ind w:firstLine="720"/>
        <w:jc w:val="both"/>
        <w:rPr>
          <w:rFonts w:ascii="Times New Roman" w:hAnsi="Times New Roman" w:cs="Times New Roman"/>
          <w:sz w:val="24"/>
          <w:szCs w:val="24"/>
        </w:rPr>
      </w:pPr>
      <w:r w:rsidRPr="000701AC">
        <w:rPr>
          <w:rFonts w:ascii="Times New Roman" w:hAnsi="Times New Roman" w:cs="Times New Roman"/>
          <w:sz w:val="24"/>
          <w:szCs w:val="24"/>
        </w:rPr>
        <w:t xml:space="preserve">В протесте Генеральный Прокурор указывает, что состоявшиеся судебные акты являются необоснованными и подлежат изменению ввиду неправильного применения закона и несоответствия выводов суда фактическим обстоятельствам дела. Просит действия И. с части 1 статьи 380-1 УК переквалифицировать на пункт 2) части 3 статьи 293 УК, с учетом требований пункта 2) части 2 статьи 55 УК назначить наказание – 4 года 8 месяцев лишения свободы с отбыванием наказания в учреждении уголовно-исполнительной системы средней безопасности. </w:t>
      </w:r>
      <w:hyperlink r:id="rId6" w:history="1">
        <w:r w:rsidRPr="00EB2350">
          <w:rPr>
            <w:rStyle w:val="aa"/>
            <w:rFonts w:ascii="Times New Roman" w:hAnsi="Times New Roman" w:cs="Times New Roman"/>
            <w:sz w:val="24"/>
            <w:szCs w:val="24"/>
          </w:rPr>
          <w:t>Согласно положениям статьи 19 Уголовно-процессуального кодекса</w:t>
        </w:r>
      </w:hyperlink>
      <w:r w:rsidRPr="000701AC">
        <w:rPr>
          <w:rFonts w:ascii="Times New Roman" w:hAnsi="Times New Roman" w:cs="Times New Roman"/>
          <w:sz w:val="24"/>
          <w:szCs w:val="24"/>
        </w:rPr>
        <w:t xml:space="preserve"> Республики Казахстан и пункта 26 нормативного постановления Верховного Суда Республики Казахстан от 20 апреля 2006 года № 4 «О некоторых вопросах оценки доказательств по уголовным делам», достаточная совокупность допустимых и достоверных доказательств является основой любого приговора. </w:t>
      </w:r>
    </w:p>
    <w:p w14:paraId="707FF66A" w14:textId="77777777" w:rsidR="000701AC" w:rsidRDefault="004448EB" w:rsidP="000701AC">
      <w:pPr>
        <w:ind w:firstLine="720"/>
        <w:jc w:val="both"/>
        <w:rPr>
          <w:rFonts w:ascii="Times New Roman" w:hAnsi="Times New Roman" w:cs="Times New Roman"/>
          <w:sz w:val="24"/>
          <w:szCs w:val="24"/>
        </w:rPr>
      </w:pPr>
      <w:r w:rsidRPr="000701AC">
        <w:rPr>
          <w:rFonts w:ascii="Times New Roman" w:hAnsi="Times New Roman" w:cs="Times New Roman"/>
          <w:sz w:val="24"/>
          <w:szCs w:val="24"/>
        </w:rPr>
        <w:t xml:space="preserve">Приговор должен содержать совокупность доказательств, на которых основаны выводы суда, а также мотивы, отвергающие другие доказательства. В качестве оснований для осуждения И. по части 1 статьи 380-1 УК суд первой инстанции указал, что действия осужденного являются местью, и умысел его при производстве выстрелов по окнам здания полиции был направлен на лишение сотрудника правоохранительного органа жизни в целях воспрепятствования его законной деятельности. Суд в приговоре, основываясь лишь на предположениях, отметил о мести И. сотрудникам полиции за обиду, поскольку ранее он неоднократно привлекался к административной и уголовной ответственности. Из материалов дела следует, что осужденный и потерпевший П. друг друга не знают, конфликтных ситуаций между ними не происходило. </w:t>
      </w:r>
    </w:p>
    <w:p w14:paraId="145402EF" w14:textId="77777777" w:rsidR="000701AC" w:rsidRDefault="004448EB" w:rsidP="000701AC">
      <w:pPr>
        <w:ind w:firstLine="720"/>
        <w:jc w:val="both"/>
        <w:rPr>
          <w:rFonts w:ascii="Times New Roman" w:hAnsi="Times New Roman" w:cs="Times New Roman"/>
          <w:sz w:val="24"/>
          <w:szCs w:val="24"/>
        </w:rPr>
      </w:pPr>
      <w:r w:rsidRPr="000701AC">
        <w:rPr>
          <w:rFonts w:ascii="Times New Roman" w:hAnsi="Times New Roman" w:cs="Times New Roman"/>
          <w:sz w:val="24"/>
          <w:szCs w:val="24"/>
        </w:rPr>
        <w:t xml:space="preserve">В этой связи у И. не могло быть цели посягать на жизнь П. из мести. Кроме того, в кабинете П. были закрыты жалюзи, соответственно, И. не мог знать о том, кто находился там. Более того, уголовные и административные правонарушения осужденным совершены в разные годы. Протоколы составляли сотрудники не только Мендыкаринского РОВД, но и других подразделений органов внутренних дел Костанайской области. Кроме этого, суд, ссылаясь на показания свидетелей сотрудников полиции Ж., Н. и на приговор от 24 мая 2017 года об осуждении И. за оскорбление и неповиновение представителю власти, необоснованно пришел к предположительному выводу, что у осужденного сложилось негативное отношение к сотрудникам полиции. </w:t>
      </w:r>
    </w:p>
    <w:p w14:paraId="2B88C193" w14:textId="77777777" w:rsidR="000701AC" w:rsidRDefault="004448EB" w:rsidP="000701AC">
      <w:pPr>
        <w:ind w:firstLine="720"/>
        <w:jc w:val="both"/>
        <w:rPr>
          <w:rFonts w:ascii="Times New Roman" w:hAnsi="Times New Roman" w:cs="Times New Roman"/>
          <w:sz w:val="24"/>
          <w:szCs w:val="24"/>
        </w:rPr>
      </w:pPr>
      <w:r w:rsidRPr="000701AC">
        <w:rPr>
          <w:rFonts w:ascii="Times New Roman" w:hAnsi="Times New Roman" w:cs="Times New Roman"/>
          <w:sz w:val="24"/>
          <w:szCs w:val="24"/>
        </w:rPr>
        <w:lastRenderedPageBreak/>
        <w:t xml:space="preserve">В соответствии с пунктом 1 нормативного постановления Верховного Суда от 12 января 2009 года № 3 «О судебной практике по делам о хулиганстве», хулиганством могут быть признаны совершенные с особой дерзостью умышленные действия, нарушающие общественный порядок, проявляющие явное неуважение виновного к обществу и нормам морали, обусловленные его желанием противопоставить себя окружающим, показать свое пренебрежительное отношение к ним, сопровождавшиеся применением насилия к гражданам либо угрозой его применения, а равно уничтожением или повреждением чужого имущества, либо совершением непристойных действий, отличающихся исключительным цинизмом. Обстоятельства дела свидетельствуют о том, что И. произвел выстрелы по окнам здания отдела полиции из хулиганских побуждений. </w:t>
      </w:r>
    </w:p>
    <w:p w14:paraId="444A0D22" w14:textId="77777777" w:rsidR="000701AC" w:rsidRDefault="004448EB" w:rsidP="000701AC">
      <w:pPr>
        <w:ind w:firstLine="720"/>
        <w:jc w:val="both"/>
        <w:rPr>
          <w:rFonts w:ascii="Times New Roman" w:hAnsi="Times New Roman" w:cs="Times New Roman"/>
          <w:sz w:val="24"/>
          <w:szCs w:val="24"/>
        </w:rPr>
      </w:pPr>
      <w:r w:rsidRPr="000701AC">
        <w:rPr>
          <w:rFonts w:ascii="Times New Roman" w:hAnsi="Times New Roman" w:cs="Times New Roman"/>
          <w:sz w:val="24"/>
          <w:szCs w:val="24"/>
        </w:rPr>
        <w:t xml:space="preserve">Его действия выразились в особо дерзком нарушении общественного порядка, выражающим явное неуважение к обществу, сопровождающимся повреждением имущества с применением огнестрельного оружия. Это подтверждается показаниями потерпевшего П., свидетелей Р., С., З., протоколом осмотра места происшествия, проверкой и уточнением показаний на месте, протоколами очных ставок, другими материалами уголовного дела. Пунктом 18 вышеуказанного нормативного постановления предусмотрено, что под применением огнестрельного оружия, специально приспособленного для причинения вреда здоровью, следует понимать как действия, направленные на использование его по прямому назначению для причинения вреда здоровью (производство выстрелов, нанесение колюще-режущих ударов и другие), так и умышленное использование его в качестве средства психического насилия. То есть основанием для квалификации таких действий по части 3 статьи 293 УК является не только нанесение или попытка причинения вреда здоровью потерпевшего с использованием указанных предметов, но и иное поведение виновного в процессе хулиганских действий с использованием таких предметов, представлявшее реальную опасность для жизни и здоровья потерпевшего. </w:t>
      </w:r>
    </w:p>
    <w:p w14:paraId="3AB5EE4B" w14:textId="77777777" w:rsidR="00EB2350" w:rsidRDefault="004448EB" w:rsidP="000701AC">
      <w:pPr>
        <w:ind w:firstLine="720"/>
        <w:jc w:val="both"/>
        <w:rPr>
          <w:rFonts w:ascii="Times New Roman" w:hAnsi="Times New Roman" w:cs="Times New Roman"/>
          <w:sz w:val="24"/>
          <w:szCs w:val="24"/>
        </w:rPr>
      </w:pPr>
      <w:r w:rsidRPr="000701AC">
        <w:rPr>
          <w:rFonts w:ascii="Times New Roman" w:hAnsi="Times New Roman" w:cs="Times New Roman"/>
          <w:sz w:val="24"/>
          <w:szCs w:val="24"/>
        </w:rPr>
        <w:t xml:space="preserve">При рассмотрении дела суд обязан был выяснить мотивы и цели совершения И. преступного действия, вменяемого ему в вину, так как мотив и цель преступления относятся к обстоятельствам, подлежащим доказыванию. При таких обстоятельствах коллегия считает, что судом не добыты объективные доказательства, подтверждающие умысел виновного на причинение смерти сотрудника правоохранительного органа П. Действия И. свидетельствуют о проявлении им неуважения к обществу, демонстрации пренебрежения к общепринятым правилам и нормам морали, его стремление противопоставить свое поведение общепринятому поведению окружающих. </w:t>
      </w:r>
    </w:p>
    <w:p w14:paraId="7E1C60F3" w14:textId="77777777" w:rsidR="00EB2350" w:rsidRDefault="004448EB" w:rsidP="000701AC">
      <w:pPr>
        <w:ind w:firstLine="720"/>
        <w:jc w:val="both"/>
        <w:rPr>
          <w:rFonts w:ascii="Times New Roman" w:hAnsi="Times New Roman" w:cs="Times New Roman"/>
          <w:sz w:val="24"/>
          <w:szCs w:val="24"/>
        </w:rPr>
      </w:pPr>
      <w:r w:rsidRPr="000701AC">
        <w:rPr>
          <w:rFonts w:ascii="Times New Roman" w:hAnsi="Times New Roman" w:cs="Times New Roman"/>
          <w:sz w:val="24"/>
          <w:szCs w:val="24"/>
        </w:rPr>
        <w:t xml:space="preserve">Согласно пункту 2 нормативного постановления Верховного Суда от 15 августа 2002 года № 19 «О судебном приговоре» приговор должен быть основан на доказательствах, которые собраны с соблюдением требований закона и непосредственно в судебном заседании полно, объективно и всесторонне исследованы, с приведением их анализа и надлежащей оценки, а выводы суда – мотивированы. Несоответствие выводов суда фактическим обстоятельствам дела повлекло неправильную правовую оценку деяний осужденного И., которые следует квалифицировать по пункту 2 части 3 статьи 293 УК. В приговоре обстоятельством, смягчающим уголовную ответственность и наказание И., судом признано нахождение на иждивении малолетнего ребенка. </w:t>
      </w:r>
    </w:p>
    <w:p w14:paraId="1C113091" w14:textId="78F38608" w:rsidR="00F173BA" w:rsidRPr="000701AC" w:rsidRDefault="004448EB" w:rsidP="000701AC">
      <w:pPr>
        <w:ind w:firstLine="720"/>
        <w:jc w:val="both"/>
        <w:rPr>
          <w:rFonts w:ascii="Times New Roman" w:hAnsi="Times New Roman" w:cs="Times New Roman"/>
          <w:sz w:val="24"/>
          <w:szCs w:val="24"/>
        </w:rPr>
      </w:pPr>
      <w:r w:rsidRPr="000701AC">
        <w:rPr>
          <w:rFonts w:ascii="Times New Roman" w:hAnsi="Times New Roman" w:cs="Times New Roman"/>
          <w:sz w:val="24"/>
          <w:szCs w:val="24"/>
        </w:rPr>
        <w:t xml:space="preserve">Отягчающие обстоятельства не установлены. Согласно пункту 2) части 2 статьи 55 УК, при наличии смягчающего обстоятельства, не предусмотренного в качестве признака совершенного преступления, и отсутствии отягчающих обстоятельств срок или размер основного вида наказания не может превышать при совершении тяжкого преступления – двух </w:t>
      </w:r>
      <w:r w:rsidRPr="000701AC">
        <w:rPr>
          <w:rFonts w:ascii="Times New Roman" w:hAnsi="Times New Roman" w:cs="Times New Roman"/>
          <w:sz w:val="24"/>
          <w:szCs w:val="24"/>
        </w:rPr>
        <w:lastRenderedPageBreak/>
        <w:t xml:space="preserve">третей максимального </w:t>
      </w:r>
      <w:hyperlink r:id="rId7" w:history="1">
        <w:r w:rsidRPr="00EB2350">
          <w:rPr>
            <w:rStyle w:val="aa"/>
            <w:rFonts w:ascii="Times New Roman" w:hAnsi="Times New Roman" w:cs="Times New Roman"/>
            <w:sz w:val="24"/>
            <w:szCs w:val="24"/>
          </w:rPr>
          <w:t>срока или размера, предусмотренного соответствующей статьей. По</w:t>
        </w:r>
      </w:hyperlink>
      <w:r w:rsidRPr="000701AC">
        <w:rPr>
          <w:rFonts w:ascii="Times New Roman" w:hAnsi="Times New Roman" w:cs="Times New Roman"/>
          <w:sz w:val="24"/>
          <w:szCs w:val="24"/>
        </w:rPr>
        <w:t xml:space="preserve"> части 3 статьи 293 УК основной вид наказания не может превышать 2/3 максимального срока, что составляет 4 года 8 месяцев. На основании изложенного судебная коллегия по уголовным делам Верховного Суда изменила судебные акты в отношении И.: действия И. по части 1 статьи 380-1 УК переквалифицированы на пункт 2) части 3 статьи 293 УК и с учетом требований пункта 2) части 2 статьи 55 УК назначено наказание – 4 (четыре) года 8 (восемь) месяцев лишения свободы с отбыванием наказания в учреждении уголовно-исполнительной системы средней безопасности. В остальной части судебные акты оставлены без изменения. Протест Генерального Прокурора Республики Казахстан удовлетворен.</w:t>
      </w:r>
    </w:p>
    <w:p w14:paraId="1D196CDE" w14:textId="737247FA" w:rsidR="00F173BA" w:rsidRPr="000701AC" w:rsidRDefault="00F173BA" w:rsidP="000701AC">
      <w:pPr>
        <w:jc w:val="both"/>
        <w:rPr>
          <w:rFonts w:ascii="Times New Roman" w:hAnsi="Times New Roman" w:cs="Times New Roman"/>
          <w:sz w:val="24"/>
          <w:szCs w:val="24"/>
        </w:rPr>
      </w:pPr>
    </w:p>
    <w:p w14:paraId="02403F08" w14:textId="75BEB719" w:rsidR="00F173BA" w:rsidRPr="000701AC" w:rsidRDefault="00F173BA" w:rsidP="000701AC">
      <w:pPr>
        <w:jc w:val="both"/>
        <w:rPr>
          <w:rFonts w:ascii="Times New Roman" w:hAnsi="Times New Roman" w:cs="Times New Roman"/>
          <w:sz w:val="24"/>
          <w:szCs w:val="24"/>
        </w:rPr>
      </w:pPr>
    </w:p>
    <w:p w14:paraId="308325D5" w14:textId="324F2E94" w:rsidR="00F173BA" w:rsidRPr="000701AC" w:rsidRDefault="00F173BA" w:rsidP="000701AC">
      <w:pPr>
        <w:jc w:val="both"/>
        <w:rPr>
          <w:rFonts w:ascii="Times New Roman" w:hAnsi="Times New Roman" w:cs="Times New Roman"/>
          <w:sz w:val="24"/>
          <w:szCs w:val="24"/>
        </w:rPr>
      </w:pPr>
    </w:p>
    <w:p w14:paraId="22BAA135" w14:textId="6CC745FE" w:rsidR="00F173BA" w:rsidRPr="000701AC" w:rsidRDefault="00F173BA" w:rsidP="000701AC">
      <w:pPr>
        <w:jc w:val="both"/>
        <w:rPr>
          <w:rFonts w:ascii="Times New Roman" w:hAnsi="Times New Roman" w:cs="Times New Roman"/>
          <w:sz w:val="24"/>
          <w:szCs w:val="24"/>
        </w:rPr>
      </w:pPr>
    </w:p>
    <w:p w14:paraId="33D51603" w14:textId="10BA4AEF" w:rsidR="00F173BA" w:rsidRPr="000701AC" w:rsidRDefault="00F173BA" w:rsidP="000701AC">
      <w:pPr>
        <w:jc w:val="both"/>
        <w:rPr>
          <w:rFonts w:ascii="Times New Roman" w:hAnsi="Times New Roman" w:cs="Times New Roman"/>
          <w:sz w:val="24"/>
          <w:szCs w:val="24"/>
        </w:rPr>
      </w:pPr>
    </w:p>
    <w:p w14:paraId="55D95E22" w14:textId="0EFD17BF" w:rsidR="00F173BA" w:rsidRPr="000701AC" w:rsidRDefault="00F173BA" w:rsidP="000701AC">
      <w:pPr>
        <w:jc w:val="both"/>
        <w:rPr>
          <w:rFonts w:ascii="Times New Roman" w:hAnsi="Times New Roman" w:cs="Times New Roman"/>
          <w:sz w:val="24"/>
          <w:szCs w:val="24"/>
        </w:rPr>
      </w:pPr>
    </w:p>
    <w:p w14:paraId="1E84A240" w14:textId="61513D00" w:rsidR="00F173BA" w:rsidRPr="000701AC" w:rsidRDefault="00F173BA" w:rsidP="000701AC">
      <w:pPr>
        <w:jc w:val="both"/>
        <w:rPr>
          <w:rFonts w:ascii="Times New Roman" w:hAnsi="Times New Roman" w:cs="Times New Roman"/>
          <w:sz w:val="24"/>
          <w:szCs w:val="24"/>
        </w:rPr>
      </w:pPr>
    </w:p>
    <w:p w14:paraId="049E1B58" w14:textId="408BB97D" w:rsidR="00F173BA" w:rsidRPr="000701AC" w:rsidRDefault="00F173BA" w:rsidP="000701AC">
      <w:pPr>
        <w:jc w:val="both"/>
        <w:rPr>
          <w:rFonts w:ascii="Times New Roman" w:hAnsi="Times New Roman" w:cs="Times New Roman"/>
          <w:sz w:val="24"/>
          <w:szCs w:val="24"/>
        </w:rPr>
      </w:pPr>
    </w:p>
    <w:p w14:paraId="3F19C72F" w14:textId="49CAEBA5" w:rsidR="00F173BA" w:rsidRPr="000701AC" w:rsidRDefault="00F173BA" w:rsidP="000701AC">
      <w:pPr>
        <w:tabs>
          <w:tab w:val="left" w:pos="6948"/>
        </w:tabs>
        <w:jc w:val="both"/>
        <w:rPr>
          <w:rFonts w:ascii="Times New Roman" w:hAnsi="Times New Roman" w:cs="Times New Roman"/>
          <w:sz w:val="24"/>
          <w:szCs w:val="24"/>
        </w:rPr>
      </w:pPr>
      <w:r w:rsidRPr="000701AC">
        <w:rPr>
          <w:rFonts w:ascii="Times New Roman" w:hAnsi="Times New Roman" w:cs="Times New Roman"/>
          <w:sz w:val="24"/>
          <w:szCs w:val="24"/>
        </w:rPr>
        <w:tab/>
      </w:r>
    </w:p>
    <w:sectPr w:rsidR="00F173BA" w:rsidRPr="000701AC"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72B93" w14:textId="77777777" w:rsidR="000C7FCE" w:rsidRDefault="000C7FCE" w:rsidP="00702393">
      <w:pPr>
        <w:spacing w:after="0" w:line="240" w:lineRule="auto"/>
      </w:pPr>
      <w:r>
        <w:separator/>
      </w:r>
    </w:p>
  </w:endnote>
  <w:endnote w:type="continuationSeparator" w:id="0">
    <w:p w14:paraId="140ED73A" w14:textId="77777777" w:rsidR="000C7FCE" w:rsidRDefault="000C7FC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4DE2F" w14:textId="77777777" w:rsidR="000C7FCE" w:rsidRDefault="000C7FCE" w:rsidP="00702393">
      <w:pPr>
        <w:spacing w:after="0" w:line="240" w:lineRule="auto"/>
      </w:pPr>
      <w:r>
        <w:separator/>
      </w:r>
    </w:p>
  </w:footnote>
  <w:footnote w:type="continuationSeparator" w:id="0">
    <w:p w14:paraId="6E1E3EBA" w14:textId="77777777" w:rsidR="000C7FCE" w:rsidRDefault="000C7FC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33309"/>
    <w:rsid w:val="000701AC"/>
    <w:rsid w:val="00083357"/>
    <w:rsid w:val="000C7FCE"/>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448EB"/>
    <w:rsid w:val="00461793"/>
    <w:rsid w:val="005A3B78"/>
    <w:rsid w:val="006B0A4D"/>
    <w:rsid w:val="006E2D0A"/>
    <w:rsid w:val="00702393"/>
    <w:rsid w:val="00722D19"/>
    <w:rsid w:val="008A7236"/>
    <w:rsid w:val="008E7DF6"/>
    <w:rsid w:val="0091354D"/>
    <w:rsid w:val="00940023"/>
    <w:rsid w:val="0094655E"/>
    <w:rsid w:val="009A064E"/>
    <w:rsid w:val="009E6904"/>
    <w:rsid w:val="00A23573"/>
    <w:rsid w:val="00A45B15"/>
    <w:rsid w:val="00A81D5F"/>
    <w:rsid w:val="00B31BDB"/>
    <w:rsid w:val="00B86EBB"/>
    <w:rsid w:val="00BD7730"/>
    <w:rsid w:val="00C16D9C"/>
    <w:rsid w:val="00CB275A"/>
    <w:rsid w:val="00CF5BD5"/>
    <w:rsid w:val="00D02DFB"/>
    <w:rsid w:val="00DB660C"/>
    <w:rsid w:val="00EB2350"/>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EB2350"/>
    <w:rPr>
      <w:color w:val="0563C1" w:themeColor="hyperlink"/>
      <w:u w:val="single"/>
    </w:rPr>
  </w:style>
  <w:style w:type="character" w:styleId="ab">
    <w:name w:val="Unresolved Mention"/>
    <w:basedOn w:val="a0"/>
    <w:uiPriority w:val="99"/>
    <w:semiHidden/>
    <w:unhideWhenUsed/>
    <w:rsid w:val="00EB23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1178</Words>
  <Characters>6720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2021-12-09T14:03:00Z</dcterms:modified>
</cp:coreProperties>
</file>