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E26E5" w14:textId="18C5CC35" w:rsidR="000F7E5A" w:rsidRPr="003D6CA8" w:rsidRDefault="00D3062A" w:rsidP="003D6CA8">
      <w:pPr>
        <w:jc w:val="center"/>
        <w:rPr>
          <w:rFonts w:ascii="Times New Roman" w:hAnsi="Times New Roman" w:cs="Times New Roman"/>
          <w:b/>
          <w:bCs/>
          <w:sz w:val="24"/>
          <w:szCs w:val="24"/>
        </w:rPr>
      </w:pPr>
      <w:r w:rsidRPr="003D6CA8">
        <w:rPr>
          <w:rFonts w:ascii="Times New Roman" w:hAnsi="Times New Roman" w:cs="Times New Roman"/>
          <w:b/>
          <w:bCs/>
          <w:sz w:val="24"/>
          <w:szCs w:val="24"/>
        </w:rPr>
        <w:t>Трудовые споры</w:t>
      </w:r>
      <w:r w:rsidR="001B40B5">
        <w:rPr>
          <w:rFonts w:ascii="Times New Roman" w:hAnsi="Times New Roman" w:cs="Times New Roman"/>
          <w:b/>
          <w:bCs/>
          <w:sz w:val="24"/>
          <w:szCs w:val="24"/>
        </w:rPr>
        <w:t>,</w:t>
      </w:r>
      <w:r w:rsidRPr="003D6CA8">
        <w:rPr>
          <w:rFonts w:ascii="Times New Roman" w:hAnsi="Times New Roman" w:cs="Times New Roman"/>
          <w:b/>
          <w:bCs/>
          <w:sz w:val="24"/>
          <w:szCs w:val="24"/>
        </w:rPr>
        <w:t xml:space="preserve"> сотрудник органов внутренних дел может быть уволен за совершение проступка, дискредитирующего правоохранительный орган</w:t>
      </w:r>
    </w:p>
    <w:p w14:paraId="671B510F" w14:textId="77777777" w:rsidR="000F7E5A" w:rsidRPr="003D6CA8" w:rsidRDefault="000F7E5A" w:rsidP="00A81D5F">
      <w:pPr>
        <w:jc w:val="both"/>
        <w:rPr>
          <w:rFonts w:ascii="Times New Roman" w:hAnsi="Times New Roman" w:cs="Times New Roman"/>
          <w:sz w:val="24"/>
          <w:szCs w:val="24"/>
        </w:rPr>
      </w:pPr>
    </w:p>
    <w:p w14:paraId="74C6CD07"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Т. обратился в суд с иском к ГУ «Департамент полиции Актюбинской области Министерства внутренних дел Республики Казахстан» (далее – Департамент полиции) о признании незаконным и отмене приказа от 27 ноября 2019 года № 1290, восстановлении в должности инспектора службы строевого подразделения батальона дорожно-патрульной полиции</w:t>
      </w:r>
      <w:r w:rsidR="00CF5BD5" w:rsidRPr="003D6CA8">
        <w:rPr>
          <w:rFonts w:ascii="Times New Roman" w:hAnsi="Times New Roman" w:cs="Times New Roman"/>
          <w:sz w:val="24"/>
          <w:szCs w:val="24"/>
        </w:rPr>
        <w:t xml:space="preserve"> </w:t>
      </w:r>
      <w:r w:rsidRPr="003D6CA8">
        <w:rPr>
          <w:rFonts w:ascii="Times New Roman" w:hAnsi="Times New Roman" w:cs="Times New Roman"/>
          <w:sz w:val="24"/>
          <w:szCs w:val="24"/>
        </w:rPr>
        <w:t xml:space="preserve">Управления полиции города Актобе, взыскании заработной платы за время вынужденного прогула. </w:t>
      </w:r>
    </w:p>
    <w:p w14:paraId="6DA9C010"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Решением суда города Актобе от 10 сентября 2020 года в удовлетворении иска отказано. Постановлением судебной коллегии по гражданским делам Актюбинского областного суда от 12 ноября 2020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и вынесла новое решение об удовлетворении иска. Признан незаконным и отменен приказ Департамента полиции Актюбинской области от 27 ноября 2019 года № 1290 в части увольнения Т. из органов внутренних дел на основании подпункта 13) пункта 1 статьи 80 Закона Республики Казахстан «О правоохранительной службе». Т. восстановлен в прежней должности инспектора службы строевого подразделения батальона дорожно-патрульной полиции Управления полиции города Актобе ГУ «Департамент полиции Актюбинской области» по следующим основаниям. </w:t>
      </w:r>
    </w:p>
    <w:p w14:paraId="62A97D9D"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По делу установлено, что Т. занимал должность инспектора службы строевого подразделения батальона дорожно-патрульной полиции Управления полиции города Актобе. 24 ноября 2019 года Т. по поступившему на пульт «102» сообщению по факту хулиганства в кафе «Заходи» в городе Актобе в составе наряда патрульной полиции выехал на место происшествия. На основании видеозаписи камеры, расположенной в коридоре городского отдела полиции № 3 Алматинского района города Актобе, куда были доставлены участники драки, установлено, что к задержанным А. и Ә., находящимся в наручниках, рядом сотрудников полиции, наряду с правомерным принятием мер для физического удержания задержанных с целью исключения причинения вреда себе и окружающим, был допущен факт неправомерного применения насилия, причинения телесных повреждений. </w:t>
      </w:r>
    </w:p>
    <w:p w14:paraId="3C17E47C"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По данному факту возбуждено уголовное дело, в рамках которого шесть сотрудников полиции Департамента полиции привлечены к уголовной ответственности. Т. в ходе досудебного расследования являлся свидетелем, его причастность к совершению противоправных действий не установлена. Приказом Департамента полиции от 27 ноября 2019 года № 1290 Т. уволен из органов внутренних дел на основании подпункта 13) пункта 1 статьи 80 Закона Республики Казахстан «О правоохранительной службе» (далее – Закон № 380-IV). </w:t>
      </w:r>
    </w:p>
    <w:p w14:paraId="0AD654BD"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Основанием для издания данного приказа признано бездействие Т., выразившееся в том, что он не пресёк противоправные действия своих коллег, не принял мер для защиты прав и свобод задержанных лиц, что расценено Департаментом полиции как несоблюдение требований законодательства, неисполнение служебных обязанностей, должностной инструкции. </w:t>
      </w:r>
    </w:p>
    <w:p w14:paraId="7C681885"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Судом города Актобе отказ в удовлетворении иска со ссылкой на разъяснения, содержащиеся в нормативном постановлении Верховного Суда от 6 октября 2017 года № 9 «О некоторых вопросах применения судами законодательства при разрешении трудовых споров», </w:t>
      </w:r>
      <w:r w:rsidRPr="003D6CA8">
        <w:rPr>
          <w:rFonts w:ascii="Times New Roman" w:hAnsi="Times New Roman" w:cs="Times New Roman"/>
          <w:sz w:val="24"/>
          <w:szCs w:val="24"/>
        </w:rPr>
        <w:lastRenderedPageBreak/>
        <w:t xml:space="preserve">мотивирован указанием на то, что Т. в нарушение требований Закона № 380-IV, Этического кодекса, должностной инструкции производил удержание задержанного лица с пристегнутыми наручниками руками в лежачем положении, что вызвало в средствах массовой информации широкий общественный резонанс и расценено нарушением запрета на унижающее достоинство человека обращение. </w:t>
      </w:r>
    </w:p>
    <w:p w14:paraId="4603EEE9"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Поэтому привлечение истца к дисциплинарной ответственности за совершение проступка, дискредитирующего правоохранительный орган в глазах граждан и общественности, признано правомерным. Кроме того, по мнению суда первой инстанции, отсутствие заключения по поводу не проведённого служебного расследования и соответствующей рекомендации дисциплинарной комиссии не является существенным нарушением процедуры увольнения сотрудника правоохранительного органа и не может являться безусловным основанием для удовлетворения иска. Выводы суда первой инстанции Актюбинским областным судом признаны основанными на правильном применении норм материального и процессуального права, указано на отсутствие необходимости в проведении служебного расследования ввиду подтверждения факта и обстоятельств совершения Т. дисциплинарного проступка имеющейся видеозаписью. </w:t>
      </w:r>
    </w:p>
    <w:p w14:paraId="06FB3A97" w14:textId="77777777" w:rsidR="003D6CA8" w:rsidRDefault="000F7E5A"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Судебная коллегия считает, что с выводами судебных инстанций согласиться нельзя, поскольку они сделаны при неправильном определении обстоятельств, имеющих значение для дела, и основаны на неправильном применении норм материального права. В силу подпункта 13) пункта 1 статьи 80 Закона № 380-IV сотрудник органов внутренних дел может быть уволен за совершение проступка, дискредитирующего правоохранительный орган. Пункт 2 статьи 80 Закона № 380-IV содержит исчерпывающий перечень проступков, дискредитирующих правоохранительный орган, к которым отнесены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появление сотрудников в общественных местах в состоянии алкогольного либо наркотического опьянения; разглашение информации оперативного характера, причинившее вред следствию; использование служебного</w:t>
      </w:r>
      <w:r w:rsidR="008E1235" w:rsidRPr="003D6CA8">
        <w:rPr>
          <w:rFonts w:ascii="Times New Roman" w:hAnsi="Times New Roman" w:cs="Times New Roman"/>
          <w:sz w:val="24"/>
          <w:szCs w:val="24"/>
        </w:rPr>
        <w:t xml:space="preserve">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 </w:t>
      </w:r>
    </w:p>
    <w:p w14:paraId="703D3F44"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Вменённые в вину Т. действия не подпадают под приведённый перечень проступков, влекущих увольнение по подпункту 13) пункта 1 статьи 80 Закона № 380-IV. Применение к Т. указанной нормы представитель ответчика объяснял по делу ссылкой на указание руководства Департамента полиции о необходимости увольнения всех сотрудников полиции, чьё присутствие в момент происшествия в фойе отдела полиции зафиксировано камерой видеонаблюдения. Вместе с тем такое указание и действие Департамента полиции противоречит требованиям пункта 2 статьи 57 Закона № 380-IV о необходимости при наложении дисциплинарного взыскания учитывать наличие вины сотрудника, тяжесть и обстоятельства совершенного дисциплинарного проступка, личность сотрудника и отношение его к службе, наступление негативных последствий и причинение ущерба имиджу правоохранительного органа. </w:t>
      </w:r>
    </w:p>
    <w:p w14:paraId="37FFEEF3"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Согласно подпункту 4) пункта 1 статьи 60 Закона № 380-IV сотрудники имеют право применять физическую силу, в том числе боевые приёмы борьбы, а также специальные средства, в том числе наручники, для задержания правонарушителей, если они оказывают неповиновение или сопротивление сотрудникам, если имеются достаточные основания полагать, что они могут совершить побег или причинить вред окружающим или себе, а также </w:t>
      </w:r>
      <w:r w:rsidRPr="003D6CA8">
        <w:rPr>
          <w:rFonts w:ascii="Times New Roman" w:hAnsi="Times New Roman" w:cs="Times New Roman"/>
          <w:sz w:val="24"/>
          <w:szCs w:val="24"/>
        </w:rPr>
        <w:lastRenderedPageBreak/>
        <w:t xml:space="preserve">в отношении лиц, умышленно препятствующих сотрудникам в осуществлении возложенных на них законом обязанностей. </w:t>
      </w:r>
    </w:p>
    <w:p w14:paraId="46A03AA0"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Согласно показаниям свидетеля – старшего прокурора Алматинского района города Актобе К., один из доставленных в отдел полиции лежал на полу в наручниках за спиной, вёл себя агрессивно, пинал сотрудников полиции и окружающие предметы, выражался нецензурной бранью. В свою очередь, Т. при входе в фойе коридора отдела полиции, увидев, что доставленный А. лежит на полу с руками в наручниках за спиной и, выражаясь нецензурной бранью, наносит удары ногами по металлическим шкафам и металлоискателю, восприняв действия задержанного как неповиновение сотрудникам полиции, подойдя и находясь рядом с А., в целях предотвращения возможности причинения последним вреда окружающим и себе, имуществу отдела полиции, сначала без применения насилия удерживал того на полу, а затем переместил его в безопасное место. С момента появления Т. в фойе отдела полиции более никто из сотрудников полиции неправомерно насилия в отношении задержанных не применял, при этом сам он был не вправе без указания своего руководства или прокурора снять наручники с задержанного лица. </w:t>
      </w:r>
    </w:p>
    <w:p w14:paraId="73560878"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Таким образом, Т. действовал в соответствии с требованиями Закона № 380-IV, Этического кодекса и должностной инструкции, не выходил за пределы своих полномочий и не допустил унижающее достоинство человека обращение. Выводы местных судов о том, что необходимости в проведении служебного расследования и соответствующей рекомендации дисциплинарной комиссии не было ввиду наличия видеозаписи и проведения на момент увольнения истца досудебного расследования, по которому Т. был допрошен в качестве свидетеля, не могут быть признаны состоятельными. </w:t>
      </w:r>
    </w:p>
    <w:p w14:paraId="1773AE42" w14:textId="24366921"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Согласно пункту 3 статьи 57 Закона № 380-IV при совершении сотрудником дисциплинарного проступка с него </w:t>
      </w:r>
      <w:proofErr w:type="spellStart"/>
      <w:r w:rsidRPr="003D6CA8">
        <w:rPr>
          <w:rFonts w:ascii="Times New Roman" w:hAnsi="Times New Roman" w:cs="Times New Roman"/>
          <w:sz w:val="24"/>
          <w:szCs w:val="24"/>
        </w:rPr>
        <w:t>истребуется</w:t>
      </w:r>
      <w:proofErr w:type="spellEnd"/>
      <w:r w:rsidRPr="003D6CA8">
        <w:rPr>
          <w:rFonts w:ascii="Times New Roman" w:hAnsi="Times New Roman" w:cs="Times New Roman"/>
          <w:sz w:val="24"/>
          <w:szCs w:val="24"/>
        </w:rPr>
        <w:t xml:space="preserve"> письменное объяснение. Если в письменном объяснении сотрудник согласен с фактом совершения им данного дисциплинарного проступка, то руководитель правоохранительного органа или уполномоченный руководитель вправе наложить взыскание без проведения служебного расследования. В случае если сотрудник в своем письменном объяснении не согласен с фактом совершения им дисциплинарного проступка, то по приказу руководителя правоохранительного органа или уполномоченного руководителя должно быть проведено служебное расследование. В то же время в силу пункта 4 указанной </w:t>
      </w:r>
      <w:hyperlink r:id="rId6" w:history="1">
        <w:r w:rsidRPr="006D6908">
          <w:rPr>
            <w:rStyle w:val="aa"/>
            <w:rFonts w:ascii="Times New Roman" w:hAnsi="Times New Roman" w:cs="Times New Roman"/>
            <w:sz w:val="24"/>
            <w:szCs w:val="24"/>
          </w:rPr>
          <w:t>нормы взыскание в виде предупреждения о неполном</w:t>
        </w:r>
      </w:hyperlink>
      <w:r w:rsidRPr="003D6CA8">
        <w:rPr>
          <w:rFonts w:ascii="Times New Roman" w:hAnsi="Times New Roman" w:cs="Times New Roman"/>
          <w:sz w:val="24"/>
          <w:szCs w:val="24"/>
        </w:rPr>
        <w:t xml:space="preserve">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w:t>
      </w:r>
    </w:p>
    <w:p w14:paraId="71A77A0F"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первом руководителе правоохранительного органа. Аналогичные требования содержатся в Правилах исключения из кадров органов внутренних дел Республики Казахстан сотрудников, прекративших службу в органах внутренних дел, утверждённых приказом Министра внутренних дел Республики Казахстан от 27 мая 2011 года № 246 (далее – Правила № 246). Так, согласно пунктам 17, 21 Правил № 246 увольнение из органов внутренних дел (далее – ОВД) по подпунктам 12), 12-1), 13), 14), 16) пункта 1 статьи 80 Закона № 380-IV производится по результатам проведённого служебного расследования и соответствующим выводам комиссии подразделения ОВД. </w:t>
      </w:r>
    </w:p>
    <w:p w14:paraId="17394C6B"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На лиц рядового и начальствующего состава, подлежащих увольнению, соответствующим прямым начальником направляется на имя начальника, пользующегося </w:t>
      </w:r>
      <w:r w:rsidRPr="003D6CA8">
        <w:rPr>
          <w:rFonts w:ascii="Times New Roman" w:hAnsi="Times New Roman" w:cs="Times New Roman"/>
          <w:sz w:val="24"/>
          <w:szCs w:val="24"/>
        </w:rPr>
        <w:lastRenderedPageBreak/>
        <w:t xml:space="preserve">правом увольнения, представления,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 </w:t>
      </w:r>
    </w:p>
    <w:p w14:paraId="797C129B"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К представлениям прилагаются, в частности, заключение служебного расследования (при увольнениях сотрудника за грубое нарушение служебной дисциплины и за совершение проступка, дискредитирующего правоохранительный орган). Из приведенных правовых норм следует, что без проведения служебного расследования может быть применено дисциплинарное взыскание, указанное в статье 56 Закона № 380-IV, кроме предупреждения о неполном служебном соответствии, освобождения от занимаемой должности и увольнения. Такое дисциплинарное взыскание, как увольнение, налагается лишь по результатам проведенного служебного расследования и соответствующим рекомендациям дисциплинарной комиссии. </w:t>
      </w:r>
    </w:p>
    <w:p w14:paraId="433A7482"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Из ответа Департамента собственной безопасности Министерства внутренних дел Республики Казахстан (далее МВД) на запрос представителя истца следует, что каких-либо приказов или указаний МВД, дающих право уволить сотрудника за совершение проступка, дискредитирующего правоохранительный орган, без проведения служебного расследования и без соответствующей рекомендации дисциплинарной комиссии, не имеется. Более того, описываемые в приказе об увольнении события произошли 24 ноября 2019 года, а приказ об увольнении был издан уже 27 ноября 2019 года, тогда как Т. был допрошен в качестве свидетеля по уголовному делу лишь в январе 2020 года. </w:t>
      </w:r>
    </w:p>
    <w:p w14:paraId="4153D78F" w14:textId="77777777" w:rsid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При таких обстоятельствах судебная коллегия приходит к выводу, что в действиях Т. отсутствуют признаки дисциплинарного проступка, дискредитирующего правоохранительный орган. Ответчиком грубо нарушены правила привлечения сотрудника к дисциплинарной ответственности в виде увольнения из органов внутренних дел. Поэтому состоявшиеся по делу судебные акты подлежат отмене с вынесением по делу нового решения об удовлетворении иска. </w:t>
      </w:r>
    </w:p>
    <w:p w14:paraId="00379CCD" w14:textId="5A241249" w:rsidR="00A81D5F" w:rsidRPr="003D6CA8" w:rsidRDefault="008E1235" w:rsidP="003D6CA8">
      <w:pPr>
        <w:ind w:firstLine="720"/>
        <w:jc w:val="both"/>
        <w:rPr>
          <w:rFonts w:ascii="Times New Roman" w:hAnsi="Times New Roman" w:cs="Times New Roman"/>
          <w:sz w:val="24"/>
          <w:szCs w:val="24"/>
        </w:rPr>
      </w:pPr>
      <w:r w:rsidRPr="003D6CA8">
        <w:rPr>
          <w:rFonts w:ascii="Times New Roman" w:hAnsi="Times New Roman" w:cs="Times New Roman"/>
          <w:sz w:val="24"/>
          <w:szCs w:val="24"/>
        </w:rPr>
        <w:t xml:space="preserve">В соответствии со статьей 161 Трудового кодекса Республики Казахстан работнику, восстановленному на прежней работе, выплачивается заработная плата за все время вынужденного прогула, но не более чем за шесть месяцев. Из справки о заработной плате Т. за последние двенадцать месяцев до </w:t>
      </w:r>
      <w:hyperlink r:id="rId7" w:history="1">
        <w:r w:rsidRPr="003D6CA8">
          <w:rPr>
            <w:rStyle w:val="aa"/>
            <w:rFonts w:ascii="Times New Roman" w:hAnsi="Times New Roman" w:cs="Times New Roman"/>
            <w:sz w:val="24"/>
            <w:szCs w:val="24"/>
          </w:rPr>
          <w:t>увольнения следует, что его среднемесячная заработная</w:t>
        </w:r>
      </w:hyperlink>
      <w:r w:rsidRPr="003D6CA8">
        <w:rPr>
          <w:rFonts w:ascii="Times New Roman" w:hAnsi="Times New Roman" w:cs="Times New Roman"/>
          <w:sz w:val="24"/>
          <w:szCs w:val="24"/>
        </w:rPr>
        <w:t xml:space="preserve"> плата составила 128 551 тенге. Следовательно, с ответчика в пользу истца подлежит взысканию 771 305 тенге (128 551х6), а также в соответствии с частью 1 статьи 117 ГПК государственная пошлина в доход государства в сумме 7 713 тенге.</w:t>
      </w:r>
    </w:p>
    <w:p w14:paraId="7EA7FA65" w14:textId="0D3DEF47" w:rsidR="00F173BA" w:rsidRPr="003D6CA8" w:rsidRDefault="00F173BA" w:rsidP="002570B0">
      <w:pPr>
        <w:rPr>
          <w:rFonts w:ascii="Times New Roman" w:hAnsi="Times New Roman" w:cs="Times New Roman"/>
          <w:sz w:val="24"/>
          <w:szCs w:val="24"/>
        </w:rPr>
      </w:pPr>
    </w:p>
    <w:p w14:paraId="1C113091" w14:textId="5A80DFE0" w:rsidR="00F173BA" w:rsidRPr="003D6CA8" w:rsidRDefault="00F173BA" w:rsidP="002570B0">
      <w:pPr>
        <w:rPr>
          <w:rFonts w:ascii="Times New Roman" w:hAnsi="Times New Roman" w:cs="Times New Roman"/>
          <w:sz w:val="24"/>
          <w:szCs w:val="24"/>
        </w:rPr>
      </w:pPr>
    </w:p>
    <w:p w14:paraId="1D196CDE" w14:textId="737247FA" w:rsidR="00F173BA" w:rsidRPr="003D6CA8" w:rsidRDefault="00F173BA" w:rsidP="002570B0">
      <w:pPr>
        <w:rPr>
          <w:rFonts w:ascii="Times New Roman" w:hAnsi="Times New Roman" w:cs="Times New Roman"/>
          <w:sz w:val="24"/>
          <w:szCs w:val="24"/>
        </w:rPr>
      </w:pPr>
    </w:p>
    <w:p w14:paraId="02403F08" w14:textId="75BEB719" w:rsidR="00F173BA" w:rsidRPr="003D6CA8" w:rsidRDefault="00F173BA" w:rsidP="002570B0">
      <w:pPr>
        <w:rPr>
          <w:rFonts w:ascii="Times New Roman" w:hAnsi="Times New Roman" w:cs="Times New Roman"/>
          <w:sz w:val="24"/>
          <w:szCs w:val="24"/>
        </w:rPr>
      </w:pPr>
    </w:p>
    <w:p w14:paraId="308325D5" w14:textId="324F2E94" w:rsidR="00F173BA" w:rsidRPr="003D6CA8" w:rsidRDefault="00F173BA" w:rsidP="002570B0">
      <w:pPr>
        <w:rPr>
          <w:rFonts w:ascii="Times New Roman" w:hAnsi="Times New Roman" w:cs="Times New Roman"/>
          <w:sz w:val="24"/>
          <w:szCs w:val="24"/>
        </w:rPr>
      </w:pPr>
    </w:p>
    <w:p w14:paraId="22BAA135" w14:textId="6CC745FE" w:rsidR="00F173BA" w:rsidRPr="003D6CA8" w:rsidRDefault="00F173BA" w:rsidP="002570B0">
      <w:pPr>
        <w:rPr>
          <w:rFonts w:ascii="Times New Roman" w:hAnsi="Times New Roman" w:cs="Times New Roman"/>
          <w:sz w:val="24"/>
          <w:szCs w:val="24"/>
        </w:rPr>
      </w:pPr>
    </w:p>
    <w:p w14:paraId="33D51603" w14:textId="10BA4AEF" w:rsidR="00F173BA" w:rsidRPr="003D6CA8" w:rsidRDefault="00F173BA" w:rsidP="002570B0">
      <w:pPr>
        <w:rPr>
          <w:rFonts w:ascii="Times New Roman" w:hAnsi="Times New Roman" w:cs="Times New Roman"/>
          <w:sz w:val="24"/>
          <w:szCs w:val="24"/>
        </w:rPr>
      </w:pPr>
    </w:p>
    <w:p w14:paraId="55D95E22" w14:textId="0EFD17BF" w:rsidR="00F173BA" w:rsidRPr="003D6CA8" w:rsidRDefault="00F173BA" w:rsidP="002570B0">
      <w:pPr>
        <w:rPr>
          <w:rFonts w:ascii="Times New Roman" w:hAnsi="Times New Roman" w:cs="Times New Roman"/>
          <w:sz w:val="24"/>
          <w:szCs w:val="24"/>
        </w:rPr>
      </w:pPr>
    </w:p>
    <w:p w14:paraId="1E84A240" w14:textId="61513D00" w:rsidR="00F173BA" w:rsidRPr="003D6CA8" w:rsidRDefault="00F173BA" w:rsidP="002570B0">
      <w:pPr>
        <w:rPr>
          <w:rFonts w:ascii="Times New Roman" w:hAnsi="Times New Roman" w:cs="Times New Roman"/>
          <w:sz w:val="24"/>
          <w:szCs w:val="24"/>
        </w:rPr>
      </w:pPr>
    </w:p>
    <w:p w14:paraId="049E1B58" w14:textId="408BB97D" w:rsidR="00F173BA" w:rsidRPr="003D6CA8" w:rsidRDefault="00F173BA" w:rsidP="002570B0">
      <w:pPr>
        <w:rPr>
          <w:rFonts w:ascii="Times New Roman" w:hAnsi="Times New Roman" w:cs="Times New Roman"/>
          <w:sz w:val="24"/>
          <w:szCs w:val="24"/>
        </w:rPr>
      </w:pPr>
    </w:p>
    <w:p w14:paraId="3F19C72F" w14:textId="49CAEBA5" w:rsidR="00F173BA" w:rsidRPr="003D6CA8" w:rsidRDefault="00F173BA" w:rsidP="00F173BA">
      <w:pPr>
        <w:tabs>
          <w:tab w:val="left" w:pos="6948"/>
        </w:tabs>
        <w:rPr>
          <w:rFonts w:ascii="Times New Roman" w:hAnsi="Times New Roman" w:cs="Times New Roman"/>
          <w:sz w:val="24"/>
          <w:szCs w:val="24"/>
        </w:rPr>
      </w:pPr>
      <w:r w:rsidRPr="003D6CA8">
        <w:rPr>
          <w:rFonts w:ascii="Times New Roman" w:hAnsi="Times New Roman" w:cs="Times New Roman"/>
          <w:sz w:val="24"/>
          <w:szCs w:val="24"/>
        </w:rPr>
        <w:tab/>
      </w:r>
    </w:p>
    <w:sectPr w:rsidR="00F173BA" w:rsidRPr="003D6CA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FD83" w14:textId="77777777" w:rsidR="00D45931" w:rsidRDefault="00D45931" w:rsidP="00702393">
      <w:pPr>
        <w:spacing w:after="0" w:line="240" w:lineRule="auto"/>
      </w:pPr>
      <w:r>
        <w:separator/>
      </w:r>
    </w:p>
  </w:endnote>
  <w:endnote w:type="continuationSeparator" w:id="0">
    <w:p w14:paraId="554E0E61" w14:textId="77777777" w:rsidR="00D45931" w:rsidRDefault="00D4593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8BAC9" w14:textId="77777777" w:rsidR="00D45931" w:rsidRDefault="00D45931" w:rsidP="00702393">
      <w:pPr>
        <w:spacing w:after="0" w:line="240" w:lineRule="auto"/>
      </w:pPr>
      <w:r>
        <w:separator/>
      </w:r>
    </w:p>
  </w:footnote>
  <w:footnote w:type="continuationSeparator" w:id="0">
    <w:p w14:paraId="6783F5D3" w14:textId="77777777" w:rsidR="00D45931" w:rsidRDefault="00D4593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F7E5A"/>
    <w:rsid w:val="00102D7B"/>
    <w:rsid w:val="00152128"/>
    <w:rsid w:val="001539CF"/>
    <w:rsid w:val="00193E1B"/>
    <w:rsid w:val="001B40B5"/>
    <w:rsid w:val="001C5801"/>
    <w:rsid w:val="001E7ED8"/>
    <w:rsid w:val="002570B0"/>
    <w:rsid w:val="002A1A72"/>
    <w:rsid w:val="002B659E"/>
    <w:rsid w:val="00315990"/>
    <w:rsid w:val="00327D34"/>
    <w:rsid w:val="00327E86"/>
    <w:rsid w:val="00396063"/>
    <w:rsid w:val="003C77EA"/>
    <w:rsid w:val="003D6CA8"/>
    <w:rsid w:val="003E3623"/>
    <w:rsid w:val="00442855"/>
    <w:rsid w:val="00461793"/>
    <w:rsid w:val="005A3B78"/>
    <w:rsid w:val="006B0A4D"/>
    <w:rsid w:val="006D6908"/>
    <w:rsid w:val="006E2D0A"/>
    <w:rsid w:val="00702393"/>
    <w:rsid w:val="00722D19"/>
    <w:rsid w:val="008A7236"/>
    <w:rsid w:val="008E1235"/>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3062A"/>
    <w:rsid w:val="00D45931"/>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D6CA8"/>
    <w:rPr>
      <w:color w:val="0563C1" w:themeColor="hyperlink"/>
      <w:u w:val="single"/>
    </w:rPr>
  </w:style>
  <w:style w:type="character" w:styleId="ab">
    <w:name w:val="Unresolved Mention"/>
    <w:basedOn w:val="a0"/>
    <w:uiPriority w:val="99"/>
    <w:semiHidden/>
    <w:unhideWhenUsed/>
    <w:rsid w:val="003D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1959</Words>
  <Characters>11172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2021-12-01T15:38:00Z</dcterms:modified>
</cp:coreProperties>
</file>