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437C7ABC" w:rsidR="00A81D5F" w:rsidRPr="00C41D9C" w:rsidRDefault="008A0259" w:rsidP="00C41D9C">
      <w:pPr>
        <w:jc w:val="center"/>
        <w:rPr>
          <w:rFonts w:ascii="Times New Roman" w:hAnsi="Times New Roman" w:cs="Times New Roman"/>
          <w:b/>
          <w:bCs/>
          <w:sz w:val="24"/>
          <w:szCs w:val="24"/>
        </w:rPr>
      </w:pPr>
      <w:r>
        <w:rPr>
          <w:rFonts w:ascii="Times New Roman" w:hAnsi="Times New Roman" w:cs="Times New Roman"/>
          <w:b/>
          <w:bCs/>
          <w:sz w:val="24"/>
          <w:szCs w:val="24"/>
          <w:lang w:val="kk-KZ"/>
        </w:rPr>
        <w:t>П</w:t>
      </w:r>
      <w:proofErr w:type="spellStart"/>
      <w:r w:rsidR="00DF447B" w:rsidRPr="00C41D9C">
        <w:rPr>
          <w:rFonts w:ascii="Times New Roman" w:hAnsi="Times New Roman" w:cs="Times New Roman"/>
          <w:b/>
          <w:bCs/>
          <w:sz w:val="24"/>
          <w:szCs w:val="24"/>
        </w:rPr>
        <w:t>енсионные</w:t>
      </w:r>
      <w:proofErr w:type="spellEnd"/>
      <w:r w:rsidR="00DF447B" w:rsidRPr="00C41D9C">
        <w:rPr>
          <w:rFonts w:ascii="Times New Roman" w:hAnsi="Times New Roman" w:cs="Times New Roman"/>
          <w:b/>
          <w:bCs/>
          <w:sz w:val="24"/>
          <w:szCs w:val="24"/>
        </w:rPr>
        <w:t xml:space="preserve"> выплаты за выслугу лет назначаются и осуществляются со дня увольнения со службы, но не ранее дня, по который было выплачено денежное содержание, и не более чем за три года до дня обращения за назначением пенсионных выплат за выслугу лет</w:t>
      </w:r>
    </w:p>
    <w:p w14:paraId="75119A7C"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Ш. обратился в суд с иском к РГУ «Комитет национальной безопасности Республики Казахстан» (далее – КНБ/Комитет) и РГП «Государственный центр по выплате пенсий Министерства здравоохранения и социального развития Республики Казахстан» (далее – ГЦВП) о понуждении к назначению, перерасчёту за период с 1 июня 2011 года по 28 февраля 2015 года и выплате пенсии по выслуге лет, к назначению с 1 июня 2011 года и осуществлению государственной базовой пенсионной выплаты, о возмещении морального вреда. Решением Есильского районного суда от 29 июля 2020 года в удовлетворении иска отказано. Постановлением судебной коллегии по гражданским делам суда города Нур-Султан от 28 октября 2020 года решение суда первой инстанции изменено, в части отказа в удовлетворении иска о понуждении КНБ к назначению, перерасчёту за период с 1 июня 2011 года по 28 февраля 2015 года и выплате Ш. пенсии по выслуге лет - отменено с вынесением в этой части нового решения об удовлетворении иска. </w:t>
      </w:r>
    </w:p>
    <w:p w14:paraId="71FB58FB"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В остальной части решение районного суда оставлено без изменения. Судебная коллегия по гражданским делам Верховного Суда изменила судебные акты местных судов с вынесением нового решения в части о понуждении к назначению и перерасчёту государственной базовой пенсионной выплаты. Иск Ш. о понуждении РГУ «Комитет национальной безопасности Республики Казахстан» к назначению и перерасчёту государственной базовой пенсионной выплаты удовлетворен. Возложено на РГУ «Комитет национальной безопасности Республики Казахстан» обязанность назначить Ш. государственную базовую пенсионную выплату с её перерасчётом с 1 июня 2011 года. </w:t>
      </w:r>
    </w:p>
    <w:p w14:paraId="357EAFC0"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Суд кассационной инстанции в соответствии со статьёй 449 Гражданского процессуального кодекса Республики Казахстан проверяет законность судебных актов, вынесенных судами нижестоящих инстанций, по имеющимся в деле материалам в пределах доводов, приведённых в ходатайстве Ш. Решение Есильского районного суда от 29 июля 2020 года и постановление судебной коллегии суда города Нур-Султан от 28 октября 2020 года оспариваются в части отклонения требования Ш. о понуждении КНБ к назначению с 1 июня 2011 года и осуществлению ему государственной базовой пенсионной выплаты. </w:t>
      </w:r>
    </w:p>
    <w:p w14:paraId="3EEE4362"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Признано установленным судом по делу и не оспаривается сторонами, что Ш., родившийся 25 ноября 1974 года, с августа 1990 года по апрель 1994 года проработал фрезеровщиком ПО «Кайнар» города Талдыкорган, с мая 1994 года по декабрь 1995 года проходил срочную воинскую службу, с июля 1996 года по май 2000 года обучался в Военном институте КНБ, в период с июня 2000 года по 1 июня 2011 года проходил службу в Пограничных войсках Комитета. Приказом командира войсковой части 2032 Пограничной службы КНБ от 1 июня 2011 года № 122 старший офицер войсковой части 2032 майор Ш. уволен с воинской службы согласно поданному им рапорту по состоянию здоровья. </w:t>
      </w:r>
    </w:p>
    <w:p w14:paraId="562995CD"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По состоянию на 1 июня 2011 года общий стаж работы установлен в пределах 20 лет 5 месяцев 11 дней, из которых выслуга лет в календарном исчислении составляет 16 лет 5 месяцев 28 дней, в льготном исчислении – 3 года 11 месяцев 13 дней. В соответствии с подпунктом 3) пункта 1 статьи 60 Закона от 20 июня 1997 года № 136 «О пенсионном обеспечении в Республике Казахстан» (далее – Закон № 136) в редакции, действовавшей по состоянию на 1 июня 2011 года, право на пенсионные выплаты за выслугу лет имели военнослужащие – офицеры, уволенные по достижении предельного возраста состояния на </w:t>
      </w:r>
      <w:r w:rsidRPr="00C41D9C">
        <w:rPr>
          <w:rFonts w:ascii="Times New Roman" w:hAnsi="Times New Roman" w:cs="Times New Roman"/>
          <w:sz w:val="24"/>
          <w:szCs w:val="24"/>
        </w:rPr>
        <w:lastRenderedPageBreak/>
        <w:t xml:space="preserve">воинской службе,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составляет непрерывная воинская служба. </w:t>
      </w:r>
    </w:p>
    <w:p w14:paraId="791CD4C1"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Аналогичная норма содержится в ныне действующей редакции подпункта 3) пункта 1 статьи 64 Закона от 21 июня 2013 года № 105-V ЗРК «О пенсионном обеспечении в Республике Казахстан» (далее – Закон № 105-V ЗРК). Ввиду того, что кадровой службой по состоянию на день увольнения общий трудовой стаж Ш. определён менее 25 лет – 20 лет 5 месяцев 11 дней, вопрос о назначении ему пенсионных выплат за выслугу лет в соответствии с подпунктом 3) пункта 1 статьи 60 Закона № 136 не разрешался. 23 февраля 2018 года Ш. подал заявление о назначении ему пенсии за выслугу лет, приложив доказательства наличия у него 25-летнего общего трудового стажа, в том числе трудовую книжку, архивную справку о работе до воинской службы в течение 3 лет 8 месяцев 6 дней на </w:t>
      </w:r>
      <w:proofErr w:type="spellStart"/>
      <w:r w:rsidRPr="00C41D9C">
        <w:rPr>
          <w:rFonts w:ascii="Times New Roman" w:hAnsi="Times New Roman" w:cs="Times New Roman"/>
          <w:sz w:val="24"/>
          <w:szCs w:val="24"/>
        </w:rPr>
        <w:t>Талдыкорганском</w:t>
      </w:r>
      <w:proofErr w:type="spellEnd"/>
      <w:r w:rsidRPr="00C41D9C">
        <w:rPr>
          <w:rFonts w:ascii="Times New Roman" w:hAnsi="Times New Roman" w:cs="Times New Roman"/>
          <w:sz w:val="24"/>
          <w:szCs w:val="24"/>
        </w:rPr>
        <w:t xml:space="preserve"> заводе свинцовых аккумуляторов (ПО «Кайнар»), о чём ранее в период службы им неоднократно информировалась воинская часть, кадровая служба КНБ. </w:t>
      </w:r>
    </w:p>
    <w:p w14:paraId="3C2F1FDE"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В соответствии с обновлённым воинской частью расчётом выслуги лет и заключением от 14 июня 2018 года Ш. с учётом вновь установленного общего трудового стажа 25 лет 3 месяца 4 дня назначена к ежемесячной выплате с 23 февраля 2018 года пенсия за выслугу лет в сумме 83 479 тенге – в размере 50 % от должностного оклада по последней воинской должности. 4 августа 2018 года Ш. вновь обратился с заявлением, прося произвести перерасчёт и выплатить ему пенсию за период до 23 февраля 2018 года. Согласно пункту 1 статьи 68 Закона № 105-V ЗРК в действующей редакции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было выплачено денежное содержание, и не более чем за три года до дня обращения за назначением пенсионных выплат за выслугу лет. </w:t>
      </w:r>
    </w:p>
    <w:p w14:paraId="00815B37"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Исходя из вышеприведённой нормы Закона № 105-V ЗРК, Ш. по заявлению от 4 августа 2018 года Комитетом произведён перерасчёт пенсионных выплат за выслугу лет и с учётом индексации за предшествовавший дню назначения пенсии трёхлетний период (с 23 февраля 2015 года по 23 февраля 2018 года) определено к выплате 2 028 522 тенге. Считая, что по вине КНБ нарушено его право на получение пенсионных выплат за выслугу лет и государственной базовой пенсионной выплаты со дня увольнения с воинской службы (исключения из списков личного состава), Ш. обратился в суд с иском по настоящему делу, мотивируя свои требования ссылкой на пункт 2 статьи 22 Закона № 105-V ЗРК, согласно которому суммы государственной базовой пенсионной выплаты и пенсионных выплат за выслугу лет, не полученные своевременно по вине органа, назначающего государственную базовую пенсионную выплату или осуществляющего пенсионное обеспечение за выслугу лет, выплачиваются за прошлое время без ограничения сроков. </w:t>
      </w:r>
    </w:p>
    <w:p w14:paraId="5628B23B"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Требования о назначении и выплате государственной базовой пенсионной выплаты истец Ш. обосновывает и ссылкой на положения подпункта 3) пункта 2 статьи 5 Закона № 136, действовавшего на момент возникновения его права на пенсионные выплаты за выслугу лет, согласно которому государственная базовая пенсионная выплата осуществлялась военнослужащим, имевшим право на получение пенсионных выплат по выслуге лет. Аналогичная норма содержалась до 1 января 2016 года в подпункте 3) пункта 2 статьи 4 Закона № 105-V ЗРК в редакции, действовавшей до вступления в силу изменений, внесённых Законом от 2 августа 2015 года № 342-V. Отказ в удовлетворении иска суд первой инстанции мотивировал указанием на то, что Ш. не ставил КНБ в известность о наличии у него стажа работы в период с 10 сентября 1990 года по 13 мая 1994 года до срочной воинской службы и </w:t>
      </w:r>
      <w:r w:rsidRPr="00C41D9C">
        <w:rPr>
          <w:rFonts w:ascii="Times New Roman" w:hAnsi="Times New Roman" w:cs="Times New Roman"/>
          <w:sz w:val="24"/>
          <w:szCs w:val="24"/>
        </w:rPr>
        <w:lastRenderedPageBreak/>
        <w:t xml:space="preserve">своевременно не предоставил работодателю подтверждающие этот трудовой стаж документы, а при увольнении с воинской службы, будучи ознакомленным с расчётом выслуги лет, при котором не имел права на пенсию, претензий не предъявлял. </w:t>
      </w:r>
    </w:p>
    <w:p w14:paraId="2B290C42" w14:textId="77777777"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Суд апелляционной инстанции, верно определив обстоятельство, подлежащее выяснению и имеющее существенное значение для правильного разрешения спора, указал, что предметом доказывания по делу является отсутствие либо наличие вины Комитета в непринятии трудового стажа Ш. в ПО «Кайнар» в расчёт при установлении его выслуги лет при увольнении в 2011 году и, соответственно, определение обоснованности требований истца о применении пункта 2 статьи 22 Закона № 105-V ЗРК, то есть о признании его права на пенсионные выплаты за прошлое время без ограничения трёхлетним сроком. Согласно пункту 3 статьи 15 Закона № 136 в редакции, действовавшей на день увольнения Ш. с воинской службы (аналогичная норма в пункте 3 статьи 17 Закона № 105-V), орган, назначающий пенсионные выплаты, обязан давать разъяснения по вопросам назначения пенсий и оказывать содействие гражданам в оформлении соответствующих документов.</w:t>
      </w:r>
    </w:p>
    <w:p w14:paraId="72C4EFF2" w14:textId="216AA281" w:rsidR="00C41D9C" w:rsidRDefault="00427E49"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 В соответствии со статьёй 8 Гражданского кодекса Республики Казахстан (далее – ГК) неосуществление прав, принадлежащих гражданам, не влечёт прекращения этих прав, за исключением случаев, предусмотренных законодательными актами.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w:t>
      </w:r>
      <w:hyperlink r:id="rId6" w:history="1">
        <w:r w:rsidRPr="001E06F1">
          <w:rPr>
            <w:rStyle w:val="aa"/>
            <w:rFonts w:ascii="Times New Roman" w:hAnsi="Times New Roman" w:cs="Times New Roman"/>
            <w:sz w:val="24"/>
            <w:szCs w:val="24"/>
          </w:rPr>
          <w:t>Добросовестность, разумность и справедливость действий</w:t>
        </w:r>
      </w:hyperlink>
      <w:r w:rsidRPr="00C41D9C">
        <w:rPr>
          <w:rFonts w:ascii="Times New Roman" w:hAnsi="Times New Roman" w:cs="Times New Roman"/>
          <w:sz w:val="24"/>
          <w:szCs w:val="24"/>
        </w:rPr>
        <w:t xml:space="preserve"> участников гражданских правоотношений предполагаются. Не допускаются действия граждан и юридических лиц, направленные на причинение вреда другому лицу, злоупотребление правом в иных формах. Никто не вправе извлекать преимущество из своего недобросовестного поведения. Как правильно отметил суд апелляционной инстанции, по делу установлено, что сведения о своей работе в </w:t>
      </w:r>
      <w:proofErr w:type="gramStart"/>
      <w:r w:rsidRPr="00C41D9C">
        <w:rPr>
          <w:rFonts w:ascii="Times New Roman" w:hAnsi="Times New Roman" w:cs="Times New Roman"/>
          <w:sz w:val="24"/>
          <w:szCs w:val="24"/>
        </w:rPr>
        <w:t>1990-1994</w:t>
      </w:r>
      <w:proofErr w:type="gramEnd"/>
      <w:r w:rsidRPr="00C41D9C">
        <w:rPr>
          <w:rFonts w:ascii="Times New Roman" w:hAnsi="Times New Roman" w:cs="Times New Roman"/>
          <w:sz w:val="24"/>
          <w:szCs w:val="24"/>
        </w:rPr>
        <w:t xml:space="preserve"> годах в ПО «Кайнар» Ш. неоднократно указывал при поступлении на учёбу в военный институт и на военную службу, при сообщении автобиографических данных и заполнении личных листков по учёту кадров в процессе службы в КНБ. В последующем именно с учётом трудового стажа истца в ПО «К» Комитет добровольно признал право Ш. на пенсию по выслуге лет, назначил её в феврале 2018 года и произвёл перерасчёт в августе 2018 года за предыдущие три года.</w:t>
      </w:r>
      <w:r w:rsidR="00913B2C" w:rsidRPr="00C41D9C">
        <w:rPr>
          <w:rFonts w:ascii="Times New Roman" w:hAnsi="Times New Roman" w:cs="Times New Roman"/>
          <w:sz w:val="24"/>
          <w:szCs w:val="24"/>
        </w:rPr>
        <w:t xml:space="preserve"> </w:t>
      </w:r>
    </w:p>
    <w:p w14:paraId="1DEDEDFA" w14:textId="77777777" w:rsidR="00C41D9C" w:rsidRDefault="00913B2C"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Поэтому, изменяя решение районного суда и обоснованно удовлетворяя иск о понуждении Комитета к перерасчёту и выплате истцу пенсии за выслугу лет за период с июня 2011 года по февраль 2015 года, суд города Нур-Султан согласно части 5 статьи 6 Гражданского процессуального кодекса Республики Казахстан (далее – ГПК), придерживаясь критериев справедливости и разумности, правомерно исходил из того, что соответствующие службы КНБ, будучи осведомлёнными о наличии у увольняемого сотрудника трудового стажа до службы в армии, не поступили добросовестно и справедливо, вышеприведённые требования статьи 8 ГК, пункта 3 статьи 15 Закона № 136 не выполнили, своевременно не разъяснили Ш. возможность назначения ему пенсии в случае предоставления документов, подтверждающих стаж работы в ПО «Кайнар», не оказали содействие в оформлении заявления и иных необходимых документов. </w:t>
      </w:r>
    </w:p>
    <w:p w14:paraId="69EDE56D" w14:textId="77777777" w:rsidR="00C41D9C" w:rsidRDefault="00913B2C"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Вместе с тем судом апелляционной инстанции допущено неправильное применение норм материального закона при разрешении вопроса о праве Ш. на получение государственной базовой пенсионной выплаты. Отказывая истцу в названной части иска, суды первой и апелляционной инстанций со ссылкой на подпункт 24) статьи 1, подпункт 2) пункта 2 статьи 4 Закона № 105-V указали, что государственная базовая пенсионная выплата – это </w:t>
      </w:r>
      <w:r w:rsidRPr="00C41D9C">
        <w:rPr>
          <w:rFonts w:ascii="Times New Roman" w:hAnsi="Times New Roman" w:cs="Times New Roman"/>
          <w:sz w:val="24"/>
          <w:szCs w:val="24"/>
        </w:rPr>
        <w:lastRenderedPageBreak/>
        <w:t xml:space="preserve">ежемесячная денежная выплата, предоставляемая по достижении пенсионного возраста, которого Ш. не достиг. Между тем на момент увольнения Ш. с воинской службы и возникновения у него с 1 июня 2011 года права на пенсионные выплаты за выслугу лет, признанного судебной коллегией суда города Нур-Султан, действовал и подлежал применению Закон № 136, согласно которому (подпункт 3) пункта 2 статьи 5) государственная базовая пенсионная выплата осуществлялась и лицам (в том числе военнослужащим), имевшим право на пенсионные выплаты за выслугу лет. </w:t>
      </w:r>
    </w:p>
    <w:p w14:paraId="743D86D4" w14:textId="77777777" w:rsidR="00C41D9C" w:rsidRDefault="00913B2C"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Поэтому признание за Ш. со дня увольнения с воинской службы права на пенсионные выплаты за выслугу лет влечёт в соответствии с подпунктом 3) пункта 2 статьи 5 Закона № 136 признание его права на назначение ему с 1 июня 2011 года государственной базовой пенсионной выплаты. Допущенное Есильским районным судом и судебной коллегией суда города Нур-Султан неправильное применение нормы права привело к неверному в части разрешению дела, что в соответствии с подпунктом 4) части 1, подпунктами 1), 2) части 2 статьи 427 ГПК является основанием для изменения состоявшихся судебных актов. В соответствии со статьёй 109 ГПК стороне, в пользу которой состоялось решение, суд присуждает с другой стороны все понесённые по делу судебные расходы. </w:t>
      </w:r>
    </w:p>
    <w:p w14:paraId="7EA7FA65" w14:textId="7DEF6A89" w:rsidR="00F173BA" w:rsidRPr="00C41D9C" w:rsidRDefault="00913B2C" w:rsidP="00C41D9C">
      <w:pPr>
        <w:ind w:firstLine="720"/>
        <w:jc w:val="both"/>
        <w:rPr>
          <w:rFonts w:ascii="Times New Roman" w:hAnsi="Times New Roman" w:cs="Times New Roman"/>
          <w:sz w:val="24"/>
          <w:szCs w:val="24"/>
        </w:rPr>
      </w:pPr>
      <w:r w:rsidRPr="00C41D9C">
        <w:rPr>
          <w:rFonts w:ascii="Times New Roman" w:hAnsi="Times New Roman" w:cs="Times New Roman"/>
          <w:sz w:val="24"/>
          <w:szCs w:val="24"/>
        </w:rPr>
        <w:t xml:space="preserve">При обращении в Верховный Суд с ходатайством Ш. понесены судебные расходы путём оплаты государственной пошлины в сумме 1 389 тенге, подлежащие возмещению за счёт противной стороны, действия которой оспорены по делу и на которую возложена обязанность устранить нарушение прав и законных интересов истца. Согласно пункту 4 статьи 108 Кодекса Республики Казахстан «О налогах и других обязательных платежах в бюджет» (Налоговый кодекс) </w:t>
      </w:r>
      <w:hyperlink r:id="rId7" w:history="1">
        <w:r w:rsidRPr="00C41D9C">
          <w:rPr>
            <w:rStyle w:val="aa"/>
            <w:rFonts w:ascii="Times New Roman" w:hAnsi="Times New Roman" w:cs="Times New Roman"/>
            <w:sz w:val="24"/>
            <w:szCs w:val="24"/>
          </w:rPr>
          <w:t>возврат суммы государственной пошлины налогоплательщику, в пользу</w:t>
        </w:r>
      </w:hyperlink>
      <w:r w:rsidRPr="00C41D9C">
        <w:rPr>
          <w:rFonts w:ascii="Times New Roman" w:hAnsi="Times New Roman" w:cs="Times New Roman"/>
          <w:sz w:val="24"/>
          <w:szCs w:val="24"/>
        </w:rPr>
        <w:t xml:space="preserve"> которого состоялось решение суда о взыскании государственной пошлины с государственного учреждения, являющегося стороной по делу, производится налоговым органом на основании представленных налогоплательщиком налогового заявления и вступившего в законную силу решения суда.</w:t>
      </w:r>
    </w:p>
    <w:p w14:paraId="1C113091" w14:textId="5A80DFE0" w:rsidR="00F173BA" w:rsidRPr="00C41D9C" w:rsidRDefault="00F173BA" w:rsidP="00C41D9C">
      <w:pPr>
        <w:jc w:val="both"/>
        <w:rPr>
          <w:rFonts w:ascii="Times New Roman" w:hAnsi="Times New Roman" w:cs="Times New Roman"/>
          <w:sz w:val="24"/>
          <w:szCs w:val="24"/>
        </w:rPr>
      </w:pPr>
    </w:p>
    <w:p w14:paraId="1D196CDE" w14:textId="737247FA" w:rsidR="00F173BA" w:rsidRPr="00C41D9C" w:rsidRDefault="00F173BA" w:rsidP="00C41D9C">
      <w:pPr>
        <w:jc w:val="both"/>
        <w:rPr>
          <w:rFonts w:ascii="Times New Roman" w:hAnsi="Times New Roman" w:cs="Times New Roman"/>
          <w:sz w:val="24"/>
          <w:szCs w:val="24"/>
        </w:rPr>
      </w:pPr>
    </w:p>
    <w:p w14:paraId="02403F08" w14:textId="75BEB719" w:rsidR="00F173BA" w:rsidRPr="00C41D9C" w:rsidRDefault="00F173BA" w:rsidP="00C41D9C">
      <w:pPr>
        <w:jc w:val="both"/>
        <w:rPr>
          <w:rFonts w:ascii="Times New Roman" w:hAnsi="Times New Roman" w:cs="Times New Roman"/>
          <w:sz w:val="24"/>
          <w:szCs w:val="24"/>
        </w:rPr>
      </w:pPr>
    </w:p>
    <w:p w14:paraId="308325D5" w14:textId="324F2E94" w:rsidR="00F173BA" w:rsidRPr="00C41D9C" w:rsidRDefault="00F173BA" w:rsidP="00C41D9C">
      <w:pPr>
        <w:jc w:val="both"/>
        <w:rPr>
          <w:rFonts w:ascii="Times New Roman" w:hAnsi="Times New Roman" w:cs="Times New Roman"/>
          <w:sz w:val="24"/>
          <w:szCs w:val="24"/>
        </w:rPr>
      </w:pPr>
    </w:p>
    <w:p w14:paraId="22BAA135" w14:textId="6CC745FE" w:rsidR="00F173BA" w:rsidRPr="00C41D9C" w:rsidRDefault="00F173BA" w:rsidP="00C41D9C">
      <w:pPr>
        <w:jc w:val="both"/>
        <w:rPr>
          <w:rFonts w:ascii="Times New Roman" w:hAnsi="Times New Roman" w:cs="Times New Roman"/>
          <w:sz w:val="24"/>
          <w:szCs w:val="24"/>
        </w:rPr>
      </w:pPr>
    </w:p>
    <w:p w14:paraId="33D51603" w14:textId="10BA4AEF" w:rsidR="00F173BA" w:rsidRPr="00C41D9C" w:rsidRDefault="00F173BA" w:rsidP="00C41D9C">
      <w:pPr>
        <w:jc w:val="both"/>
        <w:rPr>
          <w:rFonts w:ascii="Times New Roman" w:hAnsi="Times New Roman" w:cs="Times New Roman"/>
          <w:sz w:val="24"/>
          <w:szCs w:val="24"/>
        </w:rPr>
      </w:pPr>
    </w:p>
    <w:p w14:paraId="55D95E22" w14:textId="0EFD17BF" w:rsidR="00F173BA" w:rsidRPr="00C41D9C" w:rsidRDefault="00F173BA" w:rsidP="00C41D9C">
      <w:pPr>
        <w:jc w:val="both"/>
        <w:rPr>
          <w:rFonts w:ascii="Times New Roman" w:hAnsi="Times New Roman" w:cs="Times New Roman"/>
          <w:sz w:val="24"/>
          <w:szCs w:val="24"/>
        </w:rPr>
      </w:pPr>
    </w:p>
    <w:p w14:paraId="1E84A240" w14:textId="61513D00" w:rsidR="00F173BA" w:rsidRPr="00C41D9C" w:rsidRDefault="00F173BA" w:rsidP="00C41D9C">
      <w:pPr>
        <w:jc w:val="both"/>
        <w:rPr>
          <w:rFonts w:ascii="Times New Roman" w:hAnsi="Times New Roman" w:cs="Times New Roman"/>
          <w:sz w:val="24"/>
          <w:szCs w:val="24"/>
        </w:rPr>
      </w:pPr>
    </w:p>
    <w:p w14:paraId="049E1B58" w14:textId="408BB97D" w:rsidR="00F173BA" w:rsidRPr="00C41D9C" w:rsidRDefault="00F173BA" w:rsidP="00C41D9C">
      <w:pPr>
        <w:jc w:val="both"/>
        <w:rPr>
          <w:rFonts w:ascii="Times New Roman" w:hAnsi="Times New Roman" w:cs="Times New Roman"/>
          <w:sz w:val="24"/>
          <w:szCs w:val="24"/>
        </w:rPr>
      </w:pPr>
    </w:p>
    <w:p w14:paraId="3F19C72F" w14:textId="49CAEBA5" w:rsidR="00F173BA" w:rsidRPr="00C41D9C" w:rsidRDefault="00F173BA" w:rsidP="00C41D9C">
      <w:pPr>
        <w:tabs>
          <w:tab w:val="left" w:pos="6948"/>
        </w:tabs>
        <w:jc w:val="both"/>
        <w:rPr>
          <w:rFonts w:ascii="Times New Roman" w:hAnsi="Times New Roman" w:cs="Times New Roman"/>
          <w:sz w:val="24"/>
          <w:szCs w:val="24"/>
        </w:rPr>
      </w:pPr>
      <w:r w:rsidRPr="00C41D9C">
        <w:rPr>
          <w:rFonts w:ascii="Times New Roman" w:hAnsi="Times New Roman" w:cs="Times New Roman"/>
          <w:sz w:val="24"/>
          <w:szCs w:val="24"/>
        </w:rPr>
        <w:tab/>
      </w:r>
    </w:p>
    <w:sectPr w:rsidR="00F173BA" w:rsidRPr="00C41D9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F0BB4" w14:textId="77777777" w:rsidR="00A16509" w:rsidRDefault="00A16509" w:rsidP="00702393">
      <w:pPr>
        <w:spacing w:after="0" w:line="240" w:lineRule="auto"/>
      </w:pPr>
      <w:r>
        <w:separator/>
      </w:r>
    </w:p>
  </w:endnote>
  <w:endnote w:type="continuationSeparator" w:id="0">
    <w:p w14:paraId="1741FD66" w14:textId="77777777" w:rsidR="00A16509" w:rsidRDefault="00A1650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692AC" w14:textId="77777777" w:rsidR="00A16509" w:rsidRDefault="00A16509" w:rsidP="00702393">
      <w:pPr>
        <w:spacing w:after="0" w:line="240" w:lineRule="auto"/>
      </w:pPr>
      <w:r>
        <w:separator/>
      </w:r>
    </w:p>
  </w:footnote>
  <w:footnote w:type="continuationSeparator" w:id="0">
    <w:p w14:paraId="205656C4" w14:textId="77777777" w:rsidR="00A16509" w:rsidRDefault="00A1650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06F1"/>
    <w:rsid w:val="001E7ED8"/>
    <w:rsid w:val="002570B0"/>
    <w:rsid w:val="002A1A72"/>
    <w:rsid w:val="002B659E"/>
    <w:rsid w:val="00315990"/>
    <w:rsid w:val="00327D34"/>
    <w:rsid w:val="00327E86"/>
    <w:rsid w:val="00396063"/>
    <w:rsid w:val="003C77EA"/>
    <w:rsid w:val="003E3623"/>
    <w:rsid w:val="00427E49"/>
    <w:rsid w:val="00442855"/>
    <w:rsid w:val="00461793"/>
    <w:rsid w:val="005A3B78"/>
    <w:rsid w:val="006B0A4D"/>
    <w:rsid w:val="006E2D0A"/>
    <w:rsid w:val="00702393"/>
    <w:rsid w:val="00722D19"/>
    <w:rsid w:val="008A0259"/>
    <w:rsid w:val="008A7236"/>
    <w:rsid w:val="008E7DF6"/>
    <w:rsid w:val="0091354D"/>
    <w:rsid w:val="00913B2C"/>
    <w:rsid w:val="00940023"/>
    <w:rsid w:val="0094655E"/>
    <w:rsid w:val="009E6904"/>
    <w:rsid w:val="00A16509"/>
    <w:rsid w:val="00A23573"/>
    <w:rsid w:val="00A45B15"/>
    <w:rsid w:val="00A81D5F"/>
    <w:rsid w:val="00B31BDB"/>
    <w:rsid w:val="00BD7730"/>
    <w:rsid w:val="00C16D9C"/>
    <w:rsid w:val="00C41D9C"/>
    <w:rsid w:val="00CB275A"/>
    <w:rsid w:val="00CF5BD5"/>
    <w:rsid w:val="00D02DFB"/>
    <w:rsid w:val="00DB660C"/>
    <w:rsid w:val="00DF447B"/>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41D9C"/>
    <w:rPr>
      <w:color w:val="0563C1" w:themeColor="hyperlink"/>
      <w:u w:val="single"/>
    </w:rPr>
  </w:style>
  <w:style w:type="character" w:styleId="ab">
    <w:name w:val="Unresolved Mention"/>
    <w:basedOn w:val="a0"/>
    <w:uiPriority w:val="99"/>
    <w:semiHidden/>
    <w:unhideWhenUsed/>
    <w:rsid w:val="00C41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1988</Words>
  <Characters>11335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2021-12-16T17:27:00Z</dcterms:modified>
</cp:coreProperties>
</file>