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214F" w14:textId="77777777" w:rsidR="005545AF" w:rsidRDefault="005545AF" w:rsidP="00FE608D">
      <w:pPr>
        <w:jc w:val="center"/>
      </w:pPr>
    </w:p>
    <w:p w14:paraId="5F03354B" w14:textId="44E12849" w:rsidR="00AA3A1E" w:rsidRPr="000443FC" w:rsidRDefault="00AA3A1E" w:rsidP="000443FC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3FC">
        <w:rPr>
          <w:rFonts w:ascii="Times New Roman" w:hAnsi="Times New Roman" w:cs="Times New Roman"/>
          <w:b/>
          <w:bCs/>
          <w:sz w:val="24"/>
          <w:szCs w:val="24"/>
          <w:lang w:val="kk-KZ"/>
        </w:rPr>
        <w:t>Р</w:t>
      </w:r>
      <w:proofErr w:type="spellStart"/>
      <w:r w:rsidRPr="000443FC">
        <w:rPr>
          <w:rFonts w:ascii="Times New Roman" w:hAnsi="Times New Roman" w:cs="Times New Roman"/>
          <w:b/>
          <w:bCs/>
          <w:sz w:val="24"/>
          <w:szCs w:val="24"/>
        </w:rPr>
        <w:t>ассмотрения</w:t>
      </w:r>
      <w:proofErr w:type="spellEnd"/>
      <w:r w:rsidRPr="000443FC">
        <w:rPr>
          <w:rFonts w:ascii="Times New Roman" w:hAnsi="Times New Roman" w:cs="Times New Roman"/>
          <w:b/>
          <w:bCs/>
          <w:sz w:val="24"/>
          <w:szCs w:val="24"/>
        </w:rPr>
        <w:t xml:space="preserve"> ходатайства о санкционировании меры пресечения в виде содержания под стражей подозреваемого</w:t>
      </w:r>
      <w:r w:rsidRPr="000443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43FC" w:rsidRPr="000443FC">
        <w:rPr>
          <w:rFonts w:ascii="Times New Roman" w:hAnsi="Times New Roman" w:cs="Times New Roman"/>
          <w:b/>
          <w:bCs/>
          <w:sz w:val="24"/>
          <w:szCs w:val="24"/>
        </w:rPr>
        <w:t>следственный судья вправе санкционировать меру пресечения в виде домашнего ареста либо применить залог</w:t>
      </w:r>
    </w:p>
    <w:p w14:paraId="3B0BEA9D" w14:textId="77777777" w:rsidR="00AA3A1E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По итогам рассмотрения ходатайства о санкционировании меры пресечения в виде содержания под стражей подозреваемого, обвиняемого следственный судья выносит постановление о санкционировании либо отказе в санкционировании содержания под стражей. </w:t>
      </w:r>
    </w:p>
    <w:p w14:paraId="20C0D3F8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При отказе в санкционировании содержания под стражей подозреваемого или обвиняемого </w:t>
      </w:r>
      <w:hyperlink r:id="rId6" w:history="1">
        <w:r w:rsidRPr="005545AF">
          <w:rPr>
            <w:rStyle w:val="aa"/>
            <w:rFonts w:ascii="Times New Roman" w:hAnsi="Times New Roman" w:cs="Times New Roman"/>
            <w:sz w:val="24"/>
            <w:szCs w:val="24"/>
          </w:rPr>
          <w:t>следственный судья вправе</w:t>
        </w:r>
      </w:hyperlink>
      <w:r w:rsidRPr="005545AF">
        <w:rPr>
          <w:rFonts w:ascii="Times New Roman" w:hAnsi="Times New Roman" w:cs="Times New Roman"/>
          <w:sz w:val="24"/>
          <w:szCs w:val="24"/>
        </w:rPr>
        <w:t xml:space="preserve"> санкционировать меру пресечения в виде домашнего ареста либо применить залог. </w:t>
      </w:r>
    </w:p>
    <w:p w14:paraId="6531B014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При применении меры пресечения, не связанной с содержанием под стражей, на подозреваемого, обвиняемого, подсудимого для обеспечения надлежащего поведения могут быть возложены одна или несколько следующих обязанностей: </w:t>
      </w:r>
    </w:p>
    <w:p w14:paraId="3E12B5F0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• являться к лицу, осуществляющему досудебное расследование, прокурору либо в суд в установленное ими время; </w:t>
      </w:r>
    </w:p>
    <w:p w14:paraId="4FA5A4CC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• не покидать постоянное или временное местожительство без разрешения органа, ведущего уголовный процесс; </w:t>
      </w:r>
    </w:p>
    <w:p w14:paraId="196E30CD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>• уведомлять лицо, ведущее уголовный процесс, прокурора об изменении</w:t>
      </w:r>
      <w:r w:rsidR="005545AF">
        <w:rPr>
          <w:rFonts w:ascii="Times New Roman" w:hAnsi="Times New Roman" w:cs="Times New Roman"/>
          <w:sz w:val="24"/>
          <w:szCs w:val="24"/>
        </w:rPr>
        <w:t xml:space="preserve"> местожительства, места работы;</w:t>
      </w:r>
    </w:p>
    <w:p w14:paraId="0BB8D75E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• не общаться с определенными лицами и посещать определенные места; </w:t>
      </w:r>
    </w:p>
    <w:p w14:paraId="034C4BE2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• пройти курс лечения от наркотической или алкогольной зависимости; </w:t>
      </w:r>
    </w:p>
    <w:p w14:paraId="4668F1F4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• носить электронные средства слежения. </w:t>
      </w:r>
    </w:p>
    <w:p w14:paraId="63ADD504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Следственный </w:t>
      </w:r>
      <w:hyperlink r:id="rId7" w:history="1">
        <w:r w:rsidRPr="005545AF">
          <w:rPr>
            <w:rStyle w:val="aa"/>
            <w:rFonts w:ascii="Times New Roman" w:hAnsi="Times New Roman" w:cs="Times New Roman"/>
            <w:sz w:val="24"/>
            <w:szCs w:val="24"/>
          </w:rPr>
          <w:t>судья при вынесении постановления</w:t>
        </w:r>
      </w:hyperlink>
      <w:r w:rsidRPr="005545AF">
        <w:rPr>
          <w:rFonts w:ascii="Times New Roman" w:hAnsi="Times New Roman" w:cs="Times New Roman"/>
          <w:sz w:val="24"/>
          <w:szCs w:val="24"/>
        </w:rPr>
        <w:t xml:space="preserve"> о санкционировании меры пресечения в виде содержания под стражей, за исключением дел об особо тяжких преступлениях, обязан определить размер залога, достаточного для обеспечения выполнения подозреваемым, обвиняемым обязанностей, предусмотренных частью третьей статьи 140 проекта УПК. </w:t>
      </w:r>
    </w:p>
    <w:p w14:paraId="76F482EF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Это следует понимать так: Следственный судья, рассматривая ходатайство о санкционировании меры пресечения в виде содержания под стражей при наличии оснований для применения этой меры пресечения, выносит постановление о ее санкционировании. При этом в том же постановлении следственный судья указывает, что вместо содержания под стражей может быть применен залог и указывает его размер, достаточный для обеспечения выполнения подозреваемым, обвиняемым обязанностей, а также срок внесения залога (с указанием депозита суда и реквизитов банка, в котором он находится). </w:t>
      </w:r>
    </w:p>
    <w:p w14:paraId="238A344B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При этом следует обратить внимание на то, что в части 4 статьи 145 проекта УПК говорится о том, что денежный залог должен быть внесен на соответствующий счет в срок не позднее пяти суток со дня избрания, применения этой меры пресечения и в подтверждение лицу, осуществляющему досудебное расследование, прокурору, суду должен быть представлен подтверждающий документ о внесении залога. </w:t>
      </w:r>
    </w:p>
    <w:p w14:paraId="3FB188BA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lastRenderedPageBreak/>
        <w:t xml:space="preserve">При предоставлении в качестве залога других ценностей, движимого и недвижимого имущества залогодатель обязан в тот же срок представить их органу, ведущему уголовный процесс, с правоустанавливающими документами. А в части 8 статьи 148 проекта УПК указано, что подозреваемый, обвиняемый либо другое лицо вправе в любой момент внести залог в размере, установленном в постановлении следственного судьи, суда о санкционировании меры пресечения в виде содержания под стражей. </w:t>
      </w:r>
    </w:p>
    <w:p w14:paraId="11E15708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Таким образом, при санкционировании меры пресечения в виде содержания под стражей и указании в постановлении судьи о том, что может быть внесен залог, залогодателем залог может быть внесен в любой срок. </w:t>
      </w:r>
    </w:p>
    <w:p w14:paraId="52A1D9AC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И лицо, содержащееся под стражей, освобождается только после фактического внесения залога. Залог считается внесенным с момента его принятия. В части 7 статьи 145 проекта УПК указывается, что «о принятии залога составляется протокол, в котором отмечается, что подозреваемому, обвиняемому разъяснены обязанности о явке по вызову, а залогодатель предупрежден, что в случае уклонения подозреваемого, обвиняемого от явки по вызову залог обращается в доход государства. </w:t>
      </w:r>
    </w:p>
    <w:p w14:paraId="7C8AFBE5" w14:textId="77777777" w:rsidR="000443FC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Протокол о принятии залога подписывается должностным лицом, избравшим эту меру пресечения, подозреваемым, обвиняемым, а также залогодателем, когда им является другое лицо. Протокол и документ о внесении залога в депозит суда приобщаются к материалам дела, а залогодателю вручается копия протокола». </w:t>
      </w:r>
    </w:p>
    <w:p w14:paraId="5C5DA057" w14:textId="26288BE1" w:rsidR="0017260E" w:rsidRPr="005545AF" w:rsidRDefault="0017260E" w:rsidP="005545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sz w:val="24"/>
          <w:szCs w:val="24"/>
        </w:rPr>
        <w:t xml:space="preserve">Других правил принятия залога закон не содержит, следовательно, этот порядок применяется и в случае, когда залог вносится по </w:t>
      </w:r>
      <w:hyperlink r:id="rId8" w:history="1">
        <w:r w:rsidRPr="005545AF">
          <w:rPr>
            <w:rStyle w:val="aa"/>
            <w:rFonts w:ascii="Times New Roman" w:hAnsi="Times New Roman" w:cs="Times New Roman"/>
            <w:sz w:val="24"/>
            <w:szCs w:val="24"/>
          </w:rPr>
          <w:t>постановлению следственного судьи</w:t>
        </w:r>
      </w:hyperlink>
      <w:r w:rsidRPr="005545AF">
        <w:rPr>
          <w:rFonts w:ascii="Times New Roman" w:hAnsi="Times New Roman" w:cs="Times New Roman"/>
          <w:sz w:val="24"/>
          <w:szCs w:val="24"/>
        </w:rPr>
        <w:t>. Это означает, что в этих случаях протокол о принятии залога подписывается следственным судьей и залогодателем. А разъяснение подозреваемому, обвиняемому обязанностей по залогу и последствий их неисполнения согласно части 8 статьи 145 проекта УПК осуществляется начальником места содержания лица под стражей.</w:t>
      </w:r>
    </w:p>
    <w:p w14:paraId="7CED4965" w14:textId="08C47EA4" w:rsidR="00702393" w:rsidRPr="005545AF" w:rsidRDefault="008E7DF6" w:rsidP="005545AF">
      <w:pPr>
        <w:jc w:val="both"/>
        <w:rPr>
          <w:rFonts w:ascii="Times New Roman" w:hAnsi="Times New Roman" w:cs="Times New Roman"/>
          <w:sz w:val="24"/>
          <w:szCs w:val="24"/>
        </w:rPr>
      </w:pPr>
      <w:r w:rsidRPr="005545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5545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5545AF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977B2" w14:textId="77777777" w:rsidR="0072077A" w:rsidRDefault="0072077A" w:rsidP="00702393">
      <w:pPr>
        <w:spacing w:after="0" w:line="240" w:lineRule="auto"/>
      </w:pPr>
      <w:r>
        <w:separator/>
      </w:r>
    </w:p>
  </w:endnote>
  <w:endnote w:type="continuationSeparator" w:id="0">
    <w:p w14:paraId="61C9AB1B" w14:textId="77777777" w:rsidR="0072077A" w:rsidRDefault="0072077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1B1A8" w14:textId="77777777" w:rsidR="0072077A" w:rsidRDefault="0072077A" w:rsidP="00702393">
      <w:pPr>
        <w:spacing w:after="0" w:line="240" w:lineRule="auto"/>
      </w:pPr>
      <w:r>
        <w:separator/>
      </w:r>
    </w:p>
  </w:footnote>
  <w:footnote w:type="continuationSeparator" w:id="0">
    <w:p w14:paraId="0CA82485" w14:textId="77777777" w:rsidR="0072077A" w:rsidRDefault="0072077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443FC"/>
    <w:rsid w:val="0017260E"/>
    <w:rsid w:val="001C5801"/>
    <w:rsid w:val="002B659E"/>
    <w:rsid w:val="00327E86"/>
    <w:rsid w:val="003E3623"/>
    <w:rsid w:val="005545AF"/>
    <w:rsid w:val="00702393"/>
    <w:rsid w:val="0072077A"/>
    <w:rsid w:val="008E7DF6"/>
    <w:rsid w:val="0091354D"/>
    <w:rsid w:val="009E6904"/>
    <w:rsid w:val="00A23573"/>
    <w:rsid w:val="00AA3A1E"/>
    <w:rsid w:val="00B31BDB"/>
    <w:rsid w:val="00C16D9C"/>
    <w:rsid w:val="00CB275A"/>
    <w:rsid w:val="00D02DFB"/>
    <w:rsid w:val="00DB660C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C7D8DB42-8829-41E9-95BD-929E3FB5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554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5A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54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10</cp:revision>
  <dcterms:created xsi:type="dcterms:W3CDTF">2021-08-13T09:00:00Z</dcterms:created>
  <dcterms:modified xsi:type="dcterms:W3CDTF">2021-08-26T10:46:00Z</dcterms:modified>
</cp:coreProperties>
</file>