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6411A3" w14:textId="77777777" w:rsidR="002B0BDC" w:rsidRDefault="002B0BDC" w:rsidP="00FE608D">
      <w:pPr>
        <w:jc w:val="center"/>
      </w:pPr>
    </w:p>
    <w:p w14:paraId="1D01CFFA" w14:textId="6918BBB3" w:rsidR="00FE608D" w:rsidRPr="002B0BDC" w:rsidRDefault="007D7934" w:rsidP="00FE608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Адвокат в Алматы </w:t>
      </w:r>
      <w:r w:rsidR="00560DA6">
        <w:rPr>
          <w:rFonts w:ascii="Times New Roman" w:hAnsi="Times New Roman" w:cs="Times New Roman"/>
          <w:b/>
          <w:sz w:val="24"/>
          <w:szCs w:val="24"/>
        </w:rPr>
        <w:t xml:space="preserve">по </w:t>
      </w:r>
      <w:r w:rsidR="001323AE" w:rsidRPr="002B0BDC">
        <w:rPr>
          <w:rFonts w:ascii="Times New Roman" w:hAnsi="Times New Roman" w:cs="Times New Roman"/>
          <w:b/>
          <w:sz w:val="24"/>
          <w:szCs w:val="24"/>
        </w:rPr>
        <w:t>вынесении следственным судьей постановления о санкционировании меры пресечения в виде содержания под стражей залог не устанавливается в случаях</w:t>
      </w:r>
    </w:p>
    <w:p w14:paraId="72EFC3AC" w14:textId="77777777" w:rsidR="00BF4588" w:rsidRDefault="007D7934" w:rsidP="007D7934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D7934">
        <w:rPr>
          <w:rFonts w:ascii="Times New Roman" w:hAnsi="Times New Roman" w:cs="Times New Roman"/>
          <w:bCs/>
          <w:sz w:val="24"/>
          <w:szCs w:val="24"/>
        </w:rPr>
        <w:t>При вынесении следственным судьей постановления о санкционировании меры пресечения в виде содержания под стражей залог не устанавливается в случаях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27EBD" w:rsidRPr="002B0BDC">
        <w:rPr>
          <w:rFonts w:ascii="Times New Roman" w:hAnsi="Times New Roman" w:cs="Times New Roman"/>
          <w:sz w:val="24"/>
          <w:szCs w:val="24"/>
        </w:rPr>
        <w:t xml:space="preserve">подозрения, обвинения лица в совершении преступлений, повлекших смерть потерпевшего; </w:t>
      </w:r>
    </w:p>
    <w:p w14:paraId="77FD98ED" w14:textId="77777777" w:rsidR="00BF4588" w:rsidRDefault="00627EBD" w:rsidP="007D7934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B0BDC">
        <w:rPr>
          <w:rFonts w:ascii="Times New Roman" w:hAnsi="Times New Roman" w:cs="Times New Roman"/>
          <w:sz w:val="24"/>
          <w:szCs w:val="24"/>
        </w:rPr>
        <w:t xml:space="preserve">• подозрения, обвинения лица в совершении преступления в составе преступной группы, а также иных террористических и/или экстремистских преступлений; </w:t>
      </w:r>
    </w:p>
    <w:p w14:paraId="044EC2A0" w14:textId="77777777" w:rsidR="00BF4588" w:rsidRDefault="00627EBD" w:rsidP="007D7934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B0BDC">
        <w:rPr>
          <w:rFonts w:ascii="Times New Roman" w:hAnsi="Times New Roman" w:cs="Times New Roman"/>
          <w:sz w:val="24"/>
          <w:szCs w:val="24"/>
        </w:rPr>
        <w:t xml:space="preserve">• наличия достаточных оснований полагать, что подозреваемый, обвиняемый будет препятствовать судопроизводству или скроется от следствия и суда; </w:t>
      </w:r>
    </w:p>
    <w:p w14:paraId="2B6950D2" w14:textId="77777777" w:rsidR="00BF4588" w:rsidRDefault="00627EBD" w:rsidP="007D7934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B0BDC">
        <w:rPr>
          <w:rFonts w:ascii="Times New Roman" w:hAnsi="Times New Roman" w:cs="Times New Roman"/>
          <w:sz w:val="24"/>
          <w:szCs w:val="24"/>
        </w:rPr>
        <w:t xml:space="preserve">• нарушения подозреваемым, обвиняемым ранее избранной меры пресечения в виде залога. При определении размера залога судья должен руководствоваться статьей 145 проекта УПК, согласно которой: </w:t>
      </w:r>
    </w:p>
    <w:p w14:paraId="12934F1F" w14:textId="77777777" w:rsidR="00BF4588" w:rsidRDefault="00627EBD" w:rsidP="007D7934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B0BDC">
        <w:rPr>
          <w:rFonts w:ascii="Times New Roman" w:hAnsi="Times New Roman" w:cs="Times New Roman"/>
          <w:sz w:val="24"/>
          <w:szCs w:val="24"/>
        </w:rPr>
        <w:t xml:space="preserve">• Залог состоит во внесении самим подозреваемым, обвиняемым либо другим лицом на депозит суда денежных средств в </w:t>
      </w:r>
      <w:hyperlink r:id="rId6" w:history="1">
        <w:r w:rsidRPr="002B0BDC">
          <w:rPr>
            <w:rStyle w:val="aa"/>
            <w:rFonts w:ascii="Times New Roman" w:hAnsi="Times New Roman" w:cs="Times New Roman"/>
            <w:sz w:val="24"/>
            <w:szCs w:val="24"/>
          </w:rPr>
          <w:t>обеспечение выполнения</w:t>
        </w:r>
      </w:hyperlink>
      <w:r w:rsidRPr="002B0BDC">
        <w:rPr>
          <w:rFonts w:ascii="Times New Roman" w:hAnsi="Times New Roman" w:cs="Times New Roman"/>
          <w:sz w:val="24"/>
          <w:szCs w:val="24"/>
        </w:rPr>
        <w:t xml:space="preserve"> подозреваемым, обвиняемым обязанностей по явке к лицу, осуществляющему досудебное расследование, прокурору или в суд по их вызову. </w:t>
      </w:r>
    </w:p>
    <w:p w14:paraId="4E53B9E0" w14:textId="77777777" w:rsidR="00BF4588" w:rsidRDefault="00627EBD" w:rsidP="007D7934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B0BDC">
        <w:rPr>
          <w:rFonts w:ascii="Times New Roman" w:hAnsi="Times New Roman" w:cs="Times New Roman"/>
          <w:sz w:val="24"/>
          <w:szCs w:val="24"/>
        </w:rPr>
        <w:t xml:space="preserve">• В качестве залога могут быть приняты другие ценности, движимое и недвижимое имущество, на которое налагается арест. </w:t>
      </w:r>
    </w:p>
    <w:p w14:paraId="33EEBD9F" w14:textId="77777777" w:rsidR="00BF4588" w:rsidRDefault="00627EBD" w:rsidP="007D7934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B0BDC">
        <w:rPr>
          <w:rFonts w:ascii="Times New Roman" w:hAnsi="Times New Roman" w:cs="Times New Roman"/>
          <w:sz w:val="24"/>
          <w:szCs w:val="24"/>
        </w:rPr>
        <w:t xml:space="preserve">• Доказывание ценности залога и отсутствие обременений возлагается на залогодателя. </w:t>
      </w:r>
    </w:p>
    <w:p w14:paraId="71CA3E84" w14:textId="77777777" w:rsidR="00BF4588" w:rsidRDefault="00627EBD" w:rsidP="007D7934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B0BDC">
        <w:rPr>
          <w:rFonts w:ascii="Times New Roman" w:hAnsi="Times New Roman" w:cs="Times New Roman"/>
          <w:sz w:val="24"/>
          <w:szCs w:val="24"/>
        </w:rPr>
        <w:t xml:space="preserve">• Залог не применяется в отношении лиц, подозреваемых в совершении особо тяжких преступлений. </w:t>
      </w:r>
    </w:p>
    <w:p w14:paraId="39651282" w14:textId="77777777" w:rsidR="00BF4588" w:rsidRDefault="00627EBD" w:rsidP="007D7934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B0BDC">
        <w:rPr>
          <w:rFonts w:ascii="Times New Roman" w:hAnsi="Times New Roman" w:cs="Times New Roman"/>
          <w:sz w:val="24"/>
          <w:szCs w:val="24"/>
        </w:rPr>
        <w:t>• Размер залога определяется следственным судьей с учетом: - тяжести подозрения, - личности подозреваемого, обвиняемого, - характера преступного деяния, - имущественного положения залогодателя, - залог не может быть меньше: стократного размера месячного расчетного показателя – при подозрении в совершении преступления небольшой тяжести; трехсоткратного размера месячного расчетного показателя – при подозрении в совершении неосторожного преступления средней тяжести; пятисоткратного размера месячного расчетного показателя – при подозрении в совершении умышленного преступления средней тяжести; тысячекратного размера месячного расчетного показателя – при подозрении в с</w:t>
      </w:r>
      <w:r w:rsidR="002B0BDC">
        <w:rPr>
          <w:rFonts w:ascii="Times New Roman" w:hAnsi="Times New Roman" w:cs="Times New Roman"/>
          <w:sz w:val="24"/>
          <w:szCs w:val="24"/>
        </w:rPr>
        <w:t>овершении тяжкого преступления.</w:t>
      </w:r>
    </w:p>
    <w:p w14:paraId="5E8D26CC" w14:textId="77777777" w:rsidR="00BF4588" w:rsidRDefault="00627EBD" w:rsidP="007D7934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B0BDC">
        <w:rPr>
          <w:rFonts w:ascii="Times New Roman" w:hAnsi="Times New Roman" w:cs="Times New Roman"/>
          <w:sz w:val="24"/>
          <w:szCs w:val="24"/>
        </w:rPr>
        <w:t xml:space="preserve">Уголовно-процессуальный закон (ст. 145 проекта УПК) предусматривает ряд правил, которые должны быть соблюдены в связи с применением залога. Необходимо определить, относятся ли они к следственному судье, если он в постановлении о санкционировании меры пресечения в виде содержания под стражей указывает о возможности внесения залога и залог был внесен. </w:t>
      </w:r>
    </w:p>
    <w:p w14:paraId="3752759B" w14:textId="77777777" w:rsidR="00BF4588" w:rsidRDefault="00627EBD" w:rsidP="007D7934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B0BDC">
        <w:rPr>
          <w:rFonts w:ascii="Times New Roman" w:hAnsi="Times New Roman" w:cs="Times New Roman"/>
          <w:sz w:val="24"/>
          <w:szCs w:val="24"/>
        </w:rPr>
        <w:t xml:space="preserve">Первое правило состоит в том, что предмет залога немедленно возвращается залогодателю, если подозреваемый, обвиняемый не нарушил возложенные на него обязанности, но в отношении подозреваемого, обвиняемого применена более строгая мера пресечения, вынесены приговор или постановление о прекращении производства по </w:t>
      </w:r>
      <w:r w:rsidRPr="002B0BDC">
        <w:rPr>
          <w:rFonts w:ascii="Times New Roman" w:hAnsi="Times New Roman" w:cs="Times New Roman"/>
          <w:sz w:val="24"/>
          <w:szCs w:val="24"/>
        </w:rPr>
        <w:lastRenderedPageBreak/>
        <w:t xml:space="preserve">уголовному делу. Представляется, что решение о возврате залога при применении более строгой меры пресечения решает орган, ведущий уголовный процесс. </w:t>
      </w:r>
    </w:p>
    <w:p w14:paraId="6C6FEE0B" w14:textId="77777777" w:rsidR="00BF4588" w:rsidRDefault="00627EBD" w:rsidP="007D7934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B0BDC">
        <w:rPr>
          <w:rFonts w:ascii="Times New Roman" w:hAnsi="Times New Roman" w:cs="Times New Roman"/>
          <w:sz w:val="24"/>
          <w:szCs w:val="24"/>
        </w:rPr>
        <w:t xml:space="preserve">При постановлении приговора или вынесении постановления, окончательно разрешающих уголовное дело, соответственно, суд или орган уголовного преследования одновременно решают судьбу предмета залога, </w:t>
      </w:r>
      <w:proofErr w:type="gramStart"/>
      <w:r w:rsidRPr="002B0BDC">
        <w:rPr>
          <w:rFonts w:ascii="Times New Roman" w:hAnsi="Times New Roman" w:cs="Times New Roman"/>
          <w:sz w:val="24"/>
          <w:szCs w:val="24"/>
        </w:rPr>
        <w:t>т.е.</w:t>
      </w:r>
      <w:proofErr w:type="gramEnd"/>
      <w:r w:rsidRPr="002B0BDC">
        <w:rPr>
          <w:rFonts w:ascii="Times New Roman" w:hAnsi="Times New Roman" w:cs="Times New Roman"/>
          <w:sz w:val="24"/>
          <w:szCs w:val="24"/>
        </w:rPr>
        <w:t xml:space="preserve"> не следственный судья. Второе правило гласит о том, что в случаях, если залогодателем является подозреваемый, обвиняемый, суд, рассматривая вопрос о судьбе залога при </w:t>
      </w:r>
      <w:hyperlink r:id="rId7" w:history="1">
        <w:r w:rsidRPr="002B0BDC">
          <w:rPr>
            <w:rStyle w:val="aa"/>
            <w:rFonts w:ascii="Times New Roman" w:hAnsi="Times New Roman" w:cs="Times New Roman"/>
            <w:sz w:val="24"/>
            <w:szCs w:val="24"/>
          </w:rPr>
          <w:t>наличии гражданского иска</w:t>
        </w:r>
      </w:hyperlink>
      <w:r w:rsidRPr="002B0BDC">
        <w:rPr>
          <w:rFonts w:ascii="Times New Roman" w:hAnsi="Times New Roman" w:cs="Times New Roman"/>
          <w:sz w:val="24"/>
          <w:szCs w:val="24"/>
        </w:rPr>
        <w:t xml:space="preserve">, процессуальных издержек и необходимости иных имущественных взысканий вправе по ходатайству прокурора принять решение об обращении взыскания на предмет залога либо его часть. </w:t>
      </w:r>
    </w:p>
    <w:p w14:paraId="7446A669" w14:textId="77777777" w:rsidR="00BF4588" w:rsidRDefault="00627EBD" w:rsidP="007D7934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B0BDC">
        <w:rPr>
          <w:rFonts w:ascii="Times New Roman" w:hAnsi="Times New Roman" w:cs="Times New Roman"/>
          <w:sz w:val="24"/>
          <w:szCs w:val="24"/>
        </w:rPr>
        <w:t xml:space="preserve">Обращение взыскания на предмет залога, внесенного залогодателем, не являющимся подозреваемым, обвиняемым, может быть произведено только с его согласия. Это решение принимает суд, разрешающий дело по существу. Третье правило касается рассмотрения письменного обращения лица, внесшего залог за подозреваемого, обвиняемого, о том, что он не в состоянии в дальнейшем обеспечивать выполнение подозреваемым, обвиняемым обязанностей по явке в орган, ведущий уголовный процесс. </w:t>
      </w:r>
    </w:p>
    <w:p w14:paraId="04370427" w14:textId="77777777" w:rsidR="00BF4588" w:rsidRDefault="00627EBD" w:rsidP="007D7934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B0BDC">
        <w:rPr>
          <w:rFonts w:ascii="Times New Roman" w:hAnsi="Times New Roman" w:cs="Times New Roman"/>
          <w:sz w:val="24"/>
          <w:szCs w:val="24"/>
        </w:rPr>
        <w:t xml:space="preserve">Этот вопрос также рассматривается органом, ведущим уголовный процесс на досудебной и судебной стадиях, </w:t>
      </w:r>
      <w:proofErr w:type="gramStart"/>
      <w:r w:rsidRPr="002B0BDC">
        <w:rPr>
          <w:rFonts w:ascii="Times New Roman" w:hAnsi="Times New Roman" w:cs="Times New Roman"/>
          <w:sz w:val="24"/>
          <w:szCs w:val="24"/>
        </w:rPr>
        <w:t>т.е.</w:t>
      </w:r>
      <w:proofErr w:type="gramEnd"/>
      <w:r w:rsidRPr="002B0BDC">
        <w:rPr>
          <w:rFonts w:ascii="Times New Roman" w:hAnsi="Times New Roman" w:cs="Times New Roman"/>
          <w:sz w:val="24"/>
          <w:szCs w:val="24"/>
        </w:rPr>
        <w:t xml:space="preserve"> не следственным судьей. Предмет залога подлежит немедленному возвращению, если подозреваемый, обвиняемый не нарушил указанные обязанности, а в отношении него при необходимости применяется другая мера пресечения. И только следующее четвертое правило, предусмотренное частью 11 статьи 145 проекта УПК, относится к следственному судье. </w:t>
      </w:r>
    </w:p>
    <w:p w14:paraId="1A56D25E" w14:textId="77777777" w:rsidR="00BF4588" w:rsidRDefault="00627EBD" w:rsidP="007D7934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B0BDC">
        <w:rPr>
          <w:rFonts w:ascii="Times New Roman" w:hAnsi="Times New Roman" w:cs="Times New Roman"/>
          <w:sz w:val="24"/>
          <w:szCs w:val="24"/>
        </w:rPr>
        <w:t xml:space="preserve">В случае неисполнения без уважительных причин подозреваемым, обвиняемым обязательств, обеспеченных залогом, прокурор направляет следственному судье ходатайство об обращении залога в доход государства. В соответствии с данным положением закона можно сделать вывод о том, что доказывание о фактах неисполнения подозреваемым, обвиняемым обязательств, обеспеченных залогом, лежит на прокуроре. </w:t>
      </w:r>
    </w:p>
    <w:p w14:paraId="63830BF1" w14:textId="77777777" w:rsidR="00BF4588" w:rsidRDefault="00627EBD" w:rsidP="007D7934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B0BDC">
        <w:rPr>
          <w:rFonts w:ascii="Times New Roman" w:hAnsi="Times New Roman" w:cs="Times New Roman"/>
          <w:sz w:val="24"/>
          <w:szCs w:val="24"/>
        </w:rPr>
        <w:t xml:space="preserve">Он же должен представить доказательства тому, что неисполнение обязательств не связано с уважительными причинами. Суд, рассматривает ходатайство в судебном заседании с извещением заинтересованных лиц (залогодателя, подозреваемого, обвиняемого, его защитника, законного представителя, прокурора). По ходатайству сторон в необходимых случаях могут быть допрошены лица, ведущие уголовный процесс, и лица, которым известны сведения, имеющие значение для правильного разрешения ходатайства. </w:t>
      </w:r>
    </w:p>
    <w:p w14:paraId="58443878" w14:textId="77777777" w:rsidR="00BF4588" w:rsidRDefault="00627EBD" w:rsidP="007D7934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B0BDC">
        <w:rPr>
          <w:rFonts w:ascii="Times New Roman" w:hAnsi="Times New Roman" w:cs="Times New Roman"/>
          <w:sz w:val="24"/>
          <w:szCs w:val="24"/>
        </w:rPr>
        <w:t xml:space="preserve">Рассмотрев ходатайство, следственный судья принимает соответствующее решение. В части 11 статьи 145 проекта УПК указано, что постановление судьи может быть обжаловано залогодателем в вышестоящий суд в порядке статьи 107 настоящего Кодекса. Этим законодатель как бы предрешает, что следственным судьей будет вынесено постановление исключительно об удовлетворении ходатайства прокурора и об обращении залога в доход государства. </w:t>
      </w:r>
    </w:p>
    <w:p w14:paraId="00407A2D" w14:textId="77777777" w:rsidR="00BF4588" w:rsidRDefault="00627EBD" w:rsidP="007D7934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B0BDC">
        <w:rPr>
          <w:rFonts w:ascii="Times New Roman" w:hAnsi="Times New Roman" w:cs="Times New Roman"/>
          <w:sz w:val="24"/>
          <w:szCs w:val="24"/>
        </w:rPr>
        <w:t xml:space="preserve">Но ведь следственный судья может и не удовлетворить такое ходатайство. Например, в </w:t>
      </w:r>
      <w:hyperlink r:id="rId8" w:history="1">
        <w:r w:rsidRPr="002B0BDC">
          <w:rPr>
            <w:rStyle w:val="aa"/>
            <w:rFonts w:ascii="Times New Roman" w:hAnsi="Times New Roman" w:cs="Times New Roman"/>
            <w:sz w:val="24"/>
            <w:szCs w:val="24"/>
          </w:rPr>
          <w:t>судебном заседании выяснилось</w:t>
        </w:r>
      </w:hyperlink>
      <w:r w:rsidRPr="002B0BDC">
        <w:rPr>
          <w:rFonts w:ascii="Times New Roman" w:hAnsi="Times New Roman" w:cs="Times New Roman"/>
          <w:sz w:val="24"/>
          <w:szCs w:val="24"/>
        </w:rPr>
        <w:t xml:space="preserve">, что нарушений обязательств подозреваемый, обвиняемый не допускал, или допускал, но по уважительной причине (например, не получал извещение о явке, болел, стечение семейных и иных обстоятельств). Также может иметь место случай, когда залогодатель своевременно письменно обратился к органу, ведущему уголовный процесс, о том, что он не в состоянии в дальнейшем обеспечивать выполнение подозреваемым, обвиняемым обязанностей по явке в орган, ведущий уголовный процесс, и </w:t>
      </w:r>
      <w:r w:rsidRPr="002B0BDC">
        <w:rPr>
          <w:rFonts w:ascii="Times New Roman" w:hAnsi="Times New Roman" w:cs="Times New Roman"/>
          <w:sz w:val="24"/>
          <w:szCs w:val="24"/>
        </w:rPr>
        <w:lastRenderedPageBreak/>
        <w:t xml:space="preserve">при этом на момент подачи залогодателем этого обращения подозреваемый, обвиняемый не нарушали свои обязанности. Но данное обращение залогодателя своевременно не рассмотрено, и они допустили нарушения в этот период, но до того, как был решен вопрос по письменному обращению залогодателя о возврате предмета залога. </w:t>
      </w:r>
    </w:p>
    <w:p w14:paraId="153FDA33" w14:textId="4C374AE1" w:rsidR="00627EBD" w:rsidRPr="007D7934" w:rsidRDefault="00627EBD" w:rsidP="007D7934">
      <w:pPr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B0BDC">
        <w:rPr>
          <w:rFonts w:ascii="Times New Roman" w:hAnsi="Times New Roman" w:cs="Times New Roman"/>
          <w:sz w:val="24"/>
          <w:szCs w:val="24"/>
        </w:rPr>
        <w:t>Вряд ли во всех этих случаях может быть однозначным решение следственного судьи об удовлетворении ходатайства прокурора об обращении залога в доход государства. При возвращении предмета залога с залогодателя взыскивается сумма, затраченная на обеспечение сохранности залога. Причем, законодатель не делает исключений для случаев, когда залог возвращается залогодателю даже при прекращении дела по реабилитирующим основаниям.</w:t>
      </w:r>
    </w:p>
    <w:p w14:paraId="7CED4965" w14:textId="08C47EA4" w:rsidR="00702393" w:rsidRPr="002B0BDC" w:rsidRDefault="008E7DF6" w:rsidP="002B0BDC">
      <w:pPr>
        <w:jc w:val="both"/>
        <w:rPr>
          <w:rFonts w:ascii="Times New Roman" w:hAnsi="Times New Roman" w:cs="Times New Roman"/>
          <w:sz w:val="24"/>
          <w:szCs w:val="24"/>
        </w:rPr>
      </w:pPr>
      <w:r w:rsidRPr="002B0BD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A23573" w:rsidRPr="002B0BD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sectPr w:rsidR="00702393" w:rsidRPr="002B0BDC" w:rsidSect="0091354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397" w:right="991" w:bottom="568" w:left="1134" w:header="142" w:footer="18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E490D8" w14:textId="77777777" w:rsidR="00755448" w:rsidRDefault="00755448" w:rsidP="00702393">
      <w:pPr>
        <w:spacing w:after="0" w:line="240" w:lineRule="auto"/>
      </w:pPr>
      <w:r>
        <w:separator/>
      </w:r>
    </w:p>
  </w:endnote>
  <w:endnote w:type="continuationSeparator" w:id="0">
    <w:p w14:paraId="63028BB7" w14:textId="77777777" w:rsidR="00755448" w:rsidRDefault="00755448" w:rsidP="007023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160F9F" w14:textId="77777777" w:rsidR="00D02DFB" w:rsidRDefault="00D02DFB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2C913D" w14:textId="7ECA33EA" w:rsidR="0091354D" w:rsidRDefault="0091354D" w:rsidP="0091354D">
    <w:pPr>
      <w:pStyle w:val="a6"/>
      <w:jc w:val="center"/>
    </w:pPr>
    <w:r w:rsidRPr="00CF1A0E">
      <w:rPr>
        <w:noProof/>
        <w:lang w:eastAsia="ru-RU"/>
      </w:rPr>
      <w:drawing>
        <wp:inline distT="0" distB="0" distL="0" distR="0" wp14:anchorId="2E36A52D" wp14:editId="4A843218">
          <wp:extent cx="3754555" cy="555372"/>
          <wp:effectExtent l="0" t="0" r="0" b="0"/>
          <wp:docPr id="5" name="Рисунок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59957" cy="5857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8FC5BA" w14:textId="77777777" w:rsidR="00D02DFB" w:rsidRDefault="00D02DFB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E94CA1" w14:textId="77777777" w:rsidR="00755448" w:rsidRDefault="00755448" w:rsidP="00702393">
      <w:pPr>
        <w:spacing w:after="0" w:line="240" w:lineRule="auto"/>
      </w:pPr>
      <w:r>
        <w:separator/>
      </w:r>
    </w:p>
  </w:footnote>
  <w:footnote w:type="continuationSeparator" w:id="0">
    <w:p w14:paraId="4FB10B6F" w14:textId="77777777" w:rsidR="00755448" w:rsidRDefault="00755448" w:rsidP="007023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D5B2C1" w14:textId="77777777" w:rsidR="00D02DFB" w:rsidRDefault="00D02DFB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63342E" w14:textId="2223FD75" w:rsidR="00702393" w:rsidRPr="00017580" w:rsidRDefault="00017580">
    <w:pPr>
      <w:pStyle w:val="a4"/>
    </w:pPr>
    <w:r>
      <w:rPr>
        <w:noProof/>
        <w:lang w:eastAsia="ru-RU"/>
      </w:rPr>
      <w:drawing>
        <wp:inline distT="0" distB="0" distL="0" distR="0" wp14:anchorId="1ED2111A" wp14:editId="12B5F3D5">
          <wp:extent cx="2356123" cy="512451"/>
          <wp:effectExtent l="0" t="0" r="6350" b="1905"/>
          <wp:docPr id="24" name="Рисунок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23330" cy="527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      </w:t>
    </w:r>
    <w:r w:rsidR="00D02DFB">
      <w:t xml:space="preserve">                                       </w:t>
    </w:r>
    <w:r>
      <w:t xml:space="preserve">   </w:t>
    </w:r>
    <w:r>
      <w:rPr>
        <w:noProof/>
        <w:lang w:eastAsia="ru-RU"/>
      </w:rPr>
      <w:drawing>
        <wp:inline distT="0" distB="0" distL="0" distR="0" wp14:anchorId="7DD39B58" wp14:editId="00D0070D">
          <wp:extent cx="2031616" cy="622690"/>
          <wp:effectExtent l="0" t="0" r="6985" b="6350"/>
          <wp:docPr id="25" name="Рисунок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4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15667" cy="70975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26F09E" w14:textId="77777777" w:rsidR="00D02DFB" w:rsidRDefault="00D02DFB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B659E"/>
    <w:rsid w:val="00017580"/>
    <w:rsid w:val="001323AE"/>
    <w:rsid w:val="001C5801"/>
    <w:rsid w:val="002A4C79"/>
    <w:rsid w:val="002B0BDC"/>
    <w:rsid w:val="002B659E"/>
    <w:rsid w:val="00327E86"/>
    <w:rsid w:val="003E3623"/>
    <w:rsid w:val="00560DA6"/>
    <w:rsid w:val="00627EBD"/>
    <w:rsid w:val="00702393"/>
    <w:rsid w:val="00755448"/>
    <w:rsid w:val="007D7934"/>
    <w:rsid w:val="008E7DF6"/>
    <w:rsid w:val="0091354D"/>
    <w:rsid w:val="009E6904"/>
    <w:rsid w:val="00A23573"/>
    <w:rsid w:val="00B31BDB"/>
    <w:rsid w:val="00BF4588"/>
    <w:rsid w:val="00C16D9C"/>
    <w:rsid w:val="00CB275A"/>
    <w:rsid w:val="00D02DFB"/>
    <w:rsid w:val="00DB660C"/>
    <w:rsid w:val="00FE6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F946B71"/>
  <w15:docId w15:val="{A5F1269C-C2DD-4A4C-B12C-2039677FF6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023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02393"/>
  </w:style>
  <w:style w:type="paragraph" w:styleId="a6">
    <w:name w:val="footer"/>
    <w:basedOn w:val="a"/>
    <w:link w:val="a7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02393"/>
  </w:style>
  <w:style w:type="paragraph" w:styleId="a8">
    <w:name w:val="Balloon Text"/>
    <w:basedOn w:val="a"/>
    <w:link w:val="a9"/>
    <w:uiPriority w:val="99"/>
    <w:semiHidden/>
    <w:unhideWhenUsed/>
    <w:rsid w:val="002B0B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B0BDC"/>
    <w:rPr>
      <w:rFonts w:ascii="Tahoma" w:hAnsi="Tahoma" w:cs="Tahoma"/>
      <w:sz w:val="16"/>
      <w:szCs w:val="16"/>
    </w:rPr>
  </w:style>
  <w:style w:type="character" w:styleId="aa">
    <w:name w:val="Hyperlink"/>
    <w:basedOn w:val="a0"/>
    <w:uiPriority w:val="99"/>
    <w:unhideWhenUsed/>
    <w:rsid w:val="002B0BD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acebook.com/ZakonPravoKaz" TargetMode="External"/><Relationship Id="rId13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yperlink" Target="https://communicationcenter.kz/bulletin" TargetMode="External"/><Relationship Id="rId12" Type="http://schemas.openxmlformats.org/officeDocument/2006/relationships/footer" Target="footer2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zakonpravo.kz/publikacii/" TargetMode="External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3</Pages>
  <Words>1081</Words>
  <Characters>6165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Юридическая_контора Закон_и_право</dc:creator>
  <cp:keywords/>
  <dc:description/>
  <cp:lastModifiedBy>Юридическая_контора Закон_и_право</cp:lastModifiedBy>
  <cp:revision>12</cp:revision>
  <dcterms:created xsi:type="dcterms:W3CDTF">2021-08-13T09:00:00Z</dcterms:created>
  <dcterms:modified xsi:type="dcterms:W3CDTF">2021-08-23T06:46:00Z</dcterms:modified>
</cp:coreProperties>
</file>